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134"/>
        <w:gridCol w:w="2127"/>
        <w:gridCol w:w="283"/>
        <w:gridCol w:w="1682"/>
        <w:gridCol w:w="1489"/>
        <w:gridCol w:w="984"/>
        <w:gridCol w:w="1813"/>
        <w:gridCol w:w="1368"/>
      </w:tblGrid>
      <w:tr w:rsidR="006D3871" w:rsidRPr="006D3871" w:rsidTr="006D3871">
        <w:trPr>
          <w:trHeight w:val="255"/>
        </w:trPr>
        <w:tc>
          <w:tcPr>
            <w:tcW w:w="1134" w:type="dxa"/>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Level</w:t>
            </w:r>
          </w:p>
        </w:tc>
        <w:tc>
          <w:tcPr>
            <w:tcW w:w="2127" w:type="dxa"/>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283" w:type="dxa"/>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3171" w:type="dxa"/>
            <w:gridSpan w:val="2"/>
            <w:shd w:val="clear" w:color="auto" w:fill="auto"/>
            <w:noWrap/>
            <w:vAlign w:val="center"/>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Provinsi Kalimantan Tengah</w:t>
            </w:r>
          </w:p>
        </w:tc>
        <w:tc>
          <w:tcPr>
            <w:tcW w:w="984" w:type="dxa"/>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1813" w:type="dxa"/>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1368" w:type="dxa"/>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255"/>
        </w:trPr>
        <w:tc>
          <w:tcPr>
            <w:tcW w:w="3261" w:type="dxa"/>
            <w:gridSpan w:val="2"/>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Komponen</w:t>
            </w:r>
          </w:p>
        </w:tc>
        <w:tc>
          <w:tcPr>
            <w:tcW w:w="283" w:type="dxa"/>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3171" w:type="dxa"/>
            <w:gridSpan w:val="2"/>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Implementasi Kinerja</w:t>
            </w:r>
          </w:p>
        </w:tc>
        <w:tc>
          <w:tcPr>
            <w:tcW w:w="984" w:type="dxa"/>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1813" w:type="dxa"/>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1368" w:type="dxa"/>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255"/>
        </w:trPr>
        <w:tc>
          <w:tcPr>
            <w:tcW w:w="1134" w:type="dxa"/>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2127" w:type="dxa"/>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283" w:type="dxa"/>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682" w:type="dxa"/>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489" w:type="dxa"/>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984" w:type="dxa"/>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13" w:type="dxa"/>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68" w:type="dxa"/>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255"/>
        </w:trPr>
        <w:tc>
          <w:tcPr>
            <w:tcW w:w="3544" w:type="dxa"/>
            <w:gridSpan w:val="3"/>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Isu dalam PGA REDD+</w:t>
            </w:r>
          </w:p>
        </w:tc>
        <w:tc>
          <w:tcPr>
            <w:tcW w:w="5968" w:type="dxa"/>
            <w:gridSpan w:val="4"/>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  I. Perencanaan Kehutanan dan Tata Ruang </w:t>
            </w:r>
          </w:p>
        </w:tc>
        <w:tc>
          <w:tcPr>
            <w:tcW w:w="1368" w:type="dxa"/>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300"/>
        </w:trPr>
        <w:tc>
          <w:tcPr>
            <w:tcW w:w="3261" w:type="dxa"/>
            <w:gridSpan w:val="2"/>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283" w:type="dxa"/>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7336" w:type="dxa"/>
            <w:gridSpan w:val="5"/>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a. Tingkat penerimaan (legitimasi) atas dokumen RTRWP/RTRWK/Kehutanan</w:t>
            </w:r>
          </w:p>
        </w:tc>
      </w:tr>
      <w:tr w:rsidR="006D3871" w:rsidRPr="006D3871" w:rsidTr="006D3871">
        <w:trPr>
          <w:trHeight w:val="300"/>
        </w:trPr>
        <w:tc>
          <w:tcPr>
            <w:tcW w:w="3261" w:type="dxa"/>
            <w:gridSpan w:val="2"/>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Wawancara – Sumber informasi</w:t>
            </w:r>
          </w:p>
        </w:tc>
        <w:tc>
          <w:tcPr>
            <w:tcW w:w="283" w:type="dxa"/>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Menhut/bappenas) Kepala SKPD, dan Kepala Bagian Perencanaan (Biro kepegawaian dinas)</w:t>
            </w:r>
          </w:p>
        </w:tc>
      </w:tr>
    </w:tbl>
    <w:p w:rsidR="00D74DB4" w:rsidRDefault="00D74DB4"/>
    <w:tbl>
      <w:tblPr>
        <w:tblW w:w="4953" w:type="pct"/>
        <w:tblInd w:w="103" w:type="dxa"/>
        <w:tblLayout w:type="fixed"/>
        <w:tblLook w:val="04A0"/>
      </w:tblPr>
      <w:tblGrid>
        <w:gridCol w:w="998"/>
        <w:gridCol w:w="1134"/>
        <w:gridCol w:w="1417"/>
        <w:gridCol w:w="1134"/>
        <w:gridCol w:w="1843"/>
        <w:gridCol w:w="1252"/>
        <w:gridCol w:w="1725"/>
        <w:gridCol w:w="1382"/>
      </w:tblGrid>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3060"/>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FIa1</w:t>
            </w:r>
          </w:p>
        </w:tc>
        <w:tc>
          <w:tcPr>
            <w:tcW w:w="1134" w:type="dxa"/>
            <w:vMerge w:val="restart"/>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Bagaimana (tingkat) penerimaan (legitimasi) </w:t>
            </w:r>
            <w:r w:rsidRPr="006D3871">
              <w:rPr>
                <w:rFonts w:ascii="Times New Roman" w:eastAsia="Times New Roman" w:hAnsi="Times New Roman" w:cs="Times New Roman"/>
                <w:i/>
                <w:iCs/>
                <w:color w:val="000000"/>
                <w:sz w:val="20"/>
                <w:szCs w:val="20"/>
                <w:lang w:eastAsia="id-ID"/>
              </w:rPr>
              <w:t xml:space="preserve">stakeholder </w:t>
            </w:r>
            <w:r w:rsidRPr="006D3871">
              <w:rPr>
                <w:rFonts w:ascii="Times New Roman" w:eastAsia="Times New Roman" w:hAnsi="Times New Roman" w:cs="Times New Roman"/>
                <w:color w:val="000000"/>
                <w:sz w:val="20"/>
                <w:szCs w:val="20"/>
                <w:lang w:eastAsia="id-ID"/>
              </w:rPr>
              <w:t>atas dokumen RTRWP/RTRWK/Kehutanan?</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Perda N0. 8 tahun 2003 tentang RTRWP porvinsi Kalteng yang dipakai acuan saat ini jelas sudah ketinggalan jaman, sementara usulan revisi RTRWP tahun 2007 belum diterima Pemerintah Pusat sudah lebih dari 5 tahun. Akibatnya segala bentuk status pertanahan, termasuk lokasi publik seperti kantor gubernur, Kajati, Pengadlan Tinggi, sekolah, hunian warga serta dunia usaha resah</w:t>
            </w:r>
          </w:p>
        </w:tc>
        <w:tc>
          <w:tcPr>
            <w:tcW w:w="1252"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2</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 Ada kekisruhan Tata Ruang di kalteng, RTRWP revisi tahun 2007 belum diterima dan diputuskan karena belum disetujui Pemerintah. Bahkan Menhut keluarkan SK Menhut No. 292/2011 yang jauh dari harapan masyarakat dan kepala daerah. Sehingga dibuat kesepatan utk tetap memakai Perda no. 8/2003 RTRWP “lama”</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2</w:t>
            </w:r>
          </w:p>
        </w:tc>
      </w:tr>
      <w:tr w:rsidR="006D3871" w:rsidRPr="006D3871" w:rsidTr="006D3871">
        <w:trPr>
          <w:trHeight w:val="2550"/>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PU</w:t>
            </w:r>
          </w:p>
        </w:tc>
        <w:tc>
          <w:tcPr>
            <w:tcW w:w="1843"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teredia dokumen</w:t>
            </w:r>
          </w:p>
        </w:tc>
        <w:tc>
          <w:tcPr>
            <w:tcW w:w="1252"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SK Menhut 292/2011 semua perkembangan hingga 20012 belum terakomodasi, sehingga banyak lahan (terutama tempat tinggal, seperti di Kota Palangka Raya) belum bisa disertifikatkan adalah gambaran akseptabilitas stake holder rendah. Sementara usulan RTRWP sudah lebih 3 tahun belum disahkan. </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2</w:t>
            </w:r>
          </w:p>
        </w:tc>
      </w:tr>
      <w:tr w:rsidR="006D3871" w:rsidRPr="006D3871" w:rsidTr="006D3871">
        <w:trPr>
          <w:trHeight w:val="1530"/>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kliping media dan paper WALHI</w:t>
            </w:r>
          </w:p>
        </w:tc>
        <w:tc>
          <w:tcPr>
            <w:tcW w:w="1252"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 Tergantung kepentingan stakeholder swasta sangat mendorong pengurangan kawasan hutan, sementara LSM bertolak belakang mendorong pelestarian hutan</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3</w:t>
            </w:r>
          </w:p>
        </w:tc>
      </w:tr>
      <w:tr w:rsidR="006D3871" w:rsidRPr="006D3871" w:rsidTr="006D3871">
        <w:trPr>
          <w:trHeight w:val="76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Organisasi Masyarakat Adat Lokal</w:t>
            </w:r>
          </w:p>
        </w:tc>
        <w:tc>
          <w:tcPr>
            <w:tcW w:w="1843"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statemen press</w:t>
            </w:r>
          </w:p>
        </w:tc>
        <w:tc>
          <w:tcPr>
            <w:tcW w:w="1252"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both"/>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 Tidak ada sama sekali, karena kejelasan RTRWP final belum ada.</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76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Asosiasi Pengusaha</w:t>
            </w:r>
          </w:p>
        </w:tc>
        <w:tc>
          <w:tcPr>
            <w:tcW w:w="1843"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teredia dokumen</w:t>
            </w:r>
          </w:p>
        </w:tc>
        <w:tc>
          <w:tcPr>
            <w:tcW w:w="1252"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Penerimaan rendah,karena banyak usaha tak menentu karena RTRWP 2007 belum diputuskan</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2</w:t>
            </w:r>
          </w:p>
        </w:tc>
      </w:tr>
      <w:tr w:rsidR="006D3871" w:rsidRPr="006D3871" w:rsidTr="006D3871">
        <w:trPr>
          <w:trHeight w:val="76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Akademisi</w:t>
            </w:r>
          </w:p>
        </w:tc>
        <w:tc>
          <w:tcPr>
            <w:tcW w:w="1843"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posisiton paper CIMTROP yang mendesak dierlakukanya revisi RTRWP tahun 2007</w:t>
            </w:r>
          </w:p>
        </w:tc>
        <w:tc>
          <w:tcPr>
            <w:tcW w:w="1252"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jelas karena RTRWP revisi belum diputuskan hingga lebih 5 tshun</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b. Jumlah luas  kawasan hutan yang dikukuhkan dan diterima oleh para pihak</w:t>
            </w:r>
          </w:p>
        </w:tc>
      </w:tr>
      <w:tr w:rsidR="006D3871" w:rsidRPr="006D3871" w:rsidTr="006D3871">
        <w:trPr>
          <w:trHeight w:val="945"/>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1020"/>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FIb1</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Jumlah luas kawasan hutan yang dikukuhkan dan dite-rima oleh para pihak</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Bagaimana penerimaan para pihak terhadap jumlah luas kawasan hutan yang telah dikukuhkan?</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ada data terkini, mengingat RTRWP belum final</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Masih simpang siur, akibat belum jelasnya nasib revisi RTRWP tahun 2007 hingga penelitian ini dilangsungkan</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2</w:t>
            </w:r>
          </w:p>
        </w:tc>
      </w:tr>
      <w:tr w:rsidR="006D3871" w:rsidRPr="006D3871" w:rsidTr="006D3871">
        <w:trPr>
          <w:trHeight w:val="2550"/>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ada data terkini, mengingat RTRWP belum final</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 Karena RTRWP revisi belum diputuskan, makanya belum bisa melihat dengan lebih detail. Pemerintah dan swasta dorong penggunaan PERDA 8 tahun 2003 dimana luasan non-hutan sangat besar. Sementara LSM lebih mendorong SK MEnhut no 292 th 2011 – karena proses sudah sesuai UU </w:t>
            </w:r>
            <w:r w:rsidRPr="006D3871">
              <w:rPr>
                <w:rFonts w:ascii="Times New Roman" w:eastAsia="Times New Roman" w:hAnsi="Times New Roman" w:cs="Times New Roman"/>
                <w:color w:val="000000"/>
                <w:sz w:val="20"/>
                <w:szCs w:val="20"/>
                <w:lang w:eastAsia="id-ID"/>
              </w:rPr>
              <w:lastRenderedPageBreak/>
              <w:t>Kehutanan</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lastRenderedPageBreak/>
              <w:t>1</w:t>
            </w:r>
          </w:p>
        </w:tc>
      </w:tr>
      <w:tr w:rsidR="006D3871" w:rsidRPr="006D3871" w:rsidTr="006D3871">
        <w:trPr>
          <w:trHeight w:val="280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Organisasi Masyarakat Adat Lokal</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ada data terkini, mengingat RTRWP belum final</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both"/>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tahu, Masyarakat Adat/local bahkan tidak terlibat. Ijin dan srtifikat selalu datang dari atas, tanpa libatkan masyarakat.  Juga Kasus sengketa batas banyak tidak terselesaikan. Ada yang ke Pengadilan (Pekebun, penambang rakyat), akan tetapi kalah semua karena dianggap tidak mempunyai alas hak yang legal.</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25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UPT BKPH</w:t>
            </w:r>
          </w:p>
        </w:tc>
        <w:tc>
          <w:tcPr>
            <w:tcW w:w="6202" w:type="dxa"/>
            <w:gridSpan w:val="4"/>
            <w:tcBorders>
              <w:top w:val="single" w:sz="4" w:space="0" w:color="auto"/>
              <w:left w:val="nil"/>
              <w:bottom w:val="single" w:sz="4" w:space="0" w:color="auto"/>
              <w:right w:val="single" w:sz="4" w:space="0" w:color="auto"/>
            </w:tcBorders>
            <w:shd w:val="clear" w:color="000000" w:fill="F2DDDC"/>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ada UPT BKPH di Prov Kalimantan Tengah, UPT BKPH ada d kota Banjar Baru Palangkaraya</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645"/>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c. Jumlah tata- ruang kelola masyarakat adat/lokal yang terakomodir dalam tata-ruang propinsi dan/atau kabupaten</w:t>
            </w:r>
          </w:p>
        </w:tc>
      </w:tr>
      <w:tr w:rsidR="006D3871" w:rsidRPr="006D3871" w:rsidTr="006D3871">
        <w:trPr>
          <w:trHeight w:val="885"/>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1020"/>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FIc1</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Jumlah tata-ruang kelola ma-syarakat adat/lokal yang ter-akomodir dalam tata-ruang pro-pinsi dan/atau kabupaten</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Apakah jumlah tata-ruang kelola masyarakat adat/lokal yang terakomodir dalam tata-ruang propinsi dan/atau kabupaten sudah memadai?</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ada dokumen  relevan karena RTRWP belum final hingga penelitian ini dilaksanakan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belum tuntas hingga penelitian ini dilakukan, karena dokumen RTRWP revisi tahun 2007 belum diputuskan</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229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dari dokumen laporan akhir tahun dan paper-paper WALHI ditemukan banyak konflik pengelolaan lahan antara masyarakat adat dengan perusahaan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 Tidak ada. Misal perdebatan kawasan hutan vs HPL di sini PEDA mendorong perluasan kawasan perkebunan, padahal faktanya industry perkebunan sudah </w:t>
            </w:r>
            <w:r w:rsidRPr="006D3871">
              <w:rPr>
                <w:rFonts w:ascii="Times New Roman" w:eastAsia="Times New Roman" w:hAnsi="Times New Roman" w:cs="Times New Roman"/>
                <w:color w:val="000000"/>
                <w:sz w:val="20"/>
                <w:szCs w:val="20"/>
                <w:lang w:eastAsia="id-ID"/>
              </w:rPr>
              <w:lastRenderedPageBreak/>
              <w:t>capai 4,1 juta ha ijin yang dikeluarkan dan itu banyak di wilayah kawasan kelola masyarakat</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lastRenderedPageBreak/>
              <w:t>1</w:t>
            </w:r>
          </w:p>
        </w:tc>
      </w:tr>
      <w:tr w:rsidR="006D3871" w:rsidRPr="006D3871" w:rsidTr="006D3871">
        <w:trPr>
          <w:trHeight w:val="25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UPT BKPH</w:t>
            </w:r>
          </w:p>
        </w:tc>
        <w:tc>
          <w:tcPr>
            <w:tcW w:w="6202" w:type="dxa"/>
            <w:gridSpan w:val="4"/>
            <w:tcBorders>
              <w:top w:val="single" w:sz="4" w:space="0" w:color="auto"/>
              <w:left w:val="nil"/>
              <w:bottom w:val="single" w:sz="4" w:space="0" w:color="auto"/>
              <w:right w:val="single" w:sz="4" w:space="0" w:color="auto"/>
            </w:tcBorders>
            <w:shd w:val="clear" w:color="000000" w:fill="F2DDDC"/>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ada UPT BKPH di Prov Kalimantan Tengah, UPT BKPH ada d kota Banjar Baru Palangkaraya</w:t>
            </w:r>
          </w:p>
        </w:tc>
      </w:tr>
      <w:tr w:rsidR="006D3871" w:rsidRPr="006D3871" w:rsidTr="006D3871">
        <w:trPr>
          <w:trHeight w:val="2550"/>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Organisasi Masyarakat Adat Lokal</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dari dokumen laporan dan paper AMAN Kalteng banyak terjadi konflik antara masyarakat adat dengan perusahaan perkebunan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Sampai sekarang tidak ada. Indikatornya banyak terjadi konflik. Sampai sekarang tidak ada ruang Masyarakat Adat/local. Negara lewat pemerintah meniadakan Masyarakat Adat dengan merampas hak-hak Masyarakat Adat. Sejak pada perumusan awal Masyarakat Adat tidak diakui.</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127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Akademisi</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Laporan CIMPTROP, maupun PSL UNPAR menunjukkan adanya banyak konflik lahan antara masyarakat adat dengan perusahaan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memadai lagi, aturan itu (SK Menhut 292/2011) seharusnya mengikuti perkembangan terutama perkembangan daerah</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d. Jumlah konflik penguasaan kawasan yang dapat difasilitasi penyelesaiannya dalam setiap tahun</w:t>
            </w:r>
          </w:p>
        </w:tc>
      </w:tr>
      <w:tr w:rsidR="006D3871" w:rsidRPr="006D3871" w:rsidTr="006D3871">
        <w:trPr>
          <w:trHeight w:val="885"/>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1785"/>
        </w:trPr>
        <w:tc>
          <w:tcPr>
            <w:tcW w:w="998" w:type="dxa"/>
            <w:vMerge w:val="restart"/>
            <w:tcBorders>
              <w:top w:val="nil"/>
              <w:left w:val="single" w:sz="4" w:space="0" w:color="auto"/>
              <w:bottom w:val="single" w:sz="4" w:space="0" w:color="auto"/>
              <w:right w:val="single" w:sz="4" w:space="0" w:color="auto"/>
            </w:tcBorders>
            <w:shd w:val="clear" w:color="000000" w:fill="FFFF00"/>
            <w:noWrap/>
            <w:hideMark/>
          </w:tcPr>
          <w:p w:rsidR="006D3871" w:rsidRPr="006D3871" w:rsidRDefault="006D3871" w:rsidP="006D3871">
            <w:pPr>
              <w:spacing w:after="0" w:line="240" w:lineRule="auto"/>
              <w:jc w:val="center"/>
              <w:rPr>
                <w:rFonts w:ascii="Times New Roman" w:eastAsia="Times New Roman" w:hAnsi="Times New Roman" w:cs="Times New Roman"/>
                <w:color w:val="FFFF00"/>
                <w:sz w:val="20"/>
                <w:szCs w:val="20"/>
                <w:lang w:eastAsia="id-ID"/>
              </w:rPr>
            </w:pPr>
            <w:r w:rsidRPr="006D3871">
              <w:rPr>
                <w:rFonts w:ascii="Times New Roman" w:eastAsia="Times New Roman" w:hAnsi="Times New Roman" w:cs="Times New Roman"/>
                <w:color w:val="FFFF00"/>
                <w:sz w:val="20"/>
                <w:szCs w:val="20"/>
                <w:lang w:eastAsia="id-ID"/>
              </w:rPr>
              <w:lastRenderedPageBreak/>
              <w:t> </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Jumlah konflik penguasaan kawasan yang dapat difasilitasi penyelesaiannya dalam setiap tahun</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Apakah jumlah konflik penguasaan kawasan yang dapat difasilitasi penyelesaiannya dalam setiap tahun sudah memadai?</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terdapat dokumen relevan di Dishut Kalteng</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tercatat, meskipun pernah memfasilitasi penyelesaian konflik limpahan dari Kabupaten sekali pada tahun 2008. Untuk kasus di Kabupaten, Dinas Kehutanan Provinsi hanya mendapat tembusan dari Kabupaten</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2</w:t>
            </w:r>
          </w:p>
        </w:tc>
      </w:tr>
      <w:tr w:rsidR="006D3871" w:rsidRPr="006D3871" w:rsidTr="006D3871">
        <w:trPr>
          <w:trHeight w:val="2040"/>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FFFF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laporan tahunan WALHI Kalteng tahun 2011 ditemukan bab yang melaporkan puluhan konflik antara masyarakat adat dengan perusahaan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2</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 Resolusi sebenarnya mampu difasilitasi oleh Pemporv. Dan resolusi konflik diperlukan, dua tahun terakhir terdapat 300 lebih konflik dan jumlah itu Cuma 10 yang bisa difasiitasi, dan  e-10 konflik belum semuaya selesai ditangani.</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2</w:t>
            </w:r>
          </w:p>
        </w:tc>
      </w:tr>
      <w:tr w:rsidR="006D3871" w:rsidRPr="006D3871" w:rsidTr="006D3871">
        <w:trPr>
          <w:trHeight w:val="25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FFFF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UPT BKPH</w:t>
            </w:r>
          </w:p>
        </w:tc>
        <w:tc>
          <w:tcPr>
            <w:tcW w:w="6202" w:type="dxa"/>
            <w:gridSpan w:val="4"/>
            <w:tcBorders>
              <w:top w:val="single" w:sz="4" w:space="0" w:color="auto"/>
              <w:left w:val="nil"/>
              <w:bottom w:val="single" w:sz="4" w:space="0" w:color="auto"/>
              <w:right w:val="single" w:sz="4" w:space="0" w:color="auto"/>
            </w:tcBorders>
            <w:shd w:val="clear" w:color="000000" w:fill="F2DDDC"/>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ada UPT BKPH di Prov Kalimantan Tengah, UPT BKPH ada d kota Banjar Baru Palangkaraya</w:t>
            </w:r>
          </w:p>
        </w:tc>
      </w:tr>
      <w:tr w:rsidR="006D3871" w:rsidRPr="006D3871" w:rsidTr="006D3871">
        <w:trPr>
          <w:trHeight w:val="76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FFFF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Organisasi Masyarakat Adat Lokal</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laporan AMAN Kalteng</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2</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memadai,mengingat banyak jumlah konflik yang terjadi</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510"/>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FFFF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Akademisi</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di Makalah</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memadai, sementara itu julah konflik yang terjadi banyak sekali</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1530"/>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FId1</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Hasil mediasi bisa diterima oleh semua pihak dan dijalankan secara konsisten</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Apakah hasil mediasi bisa diterima oleh semua pihak dan dijalankan secara konsisten?</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terdapat dokumen relevan di Dishut Kalteng</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Hasil mediasi konflik PT Sari bumi Kusuma terkait HPH dengan masyarakat pada tahun 2008, perusahaan mengakomodir  tuntutan masyarakat dengan mekanisme program PMDH </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3</w:t>
            </w:r>
          </w:p>
        </w:tc>
      </w:tr>
      <w:tr w:rsidR="006D3871" w:rsidRPr="006D3871" w:rsidTr="006D3871">
        <w:trPr>
          <w:trHeight w:val="1530"/>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catatan advokasi konflik lahan amsayarakat adat di Kalteng</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2</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Belum tahu pasti, biasanya penyelesaian yang didorong lebih ke ganti rugi. Dan sering terjadi salah alamat, belum tentu dibayarkan ke orang yang tepat, sehingga sering mucul complain</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2</w:t>
            </w:r>
          </w:p>
        </w:tc>
      </w:tr>
      <w:tr w:rsidR="006D3871" w:rsidRPr="006D3871" w:rsidTr="006D3871">
        <w:trPr>
          <w:trHeight w:val="25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UPT BKPH</w:t>
            </w:r>
          </w:p>
        </w:tc>
        <w:tc>
          <w:tcPr>
            <w:tcW w:w="6202" w:type="dxa"/>
            <w:gridSpan w:val="4"/>
            <w:tcBorders>
              <w:top w:val="single" w:sz="4" w:space="0" w:color="auto"/>
              <w:left w:val="nil"/>
              <w:bottom w:val="single" w:sz="4" w:space="0" w:color="auto"/>
              <w:right w:val="single" w:sz="4" w:space="0" w:color="auto"/>
            </w:tcBorders>
            <w:shd w:val="clear" w:color="000000" w:fill="F2DDDC"/>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ada UPT BKPH di Prov Kalimantan Tengah, UPT BKPH ada d kota Banjar Baru Palangkaraya</w:t>
            </w:r>
          </w:p>
        </w:tc>
      </w:tr>
      <w:tr w:rsidR="006D3871" w:rsidRPr="006D3871" w:rsidTr="006D3871">
        <w:trPr>
          <w:trHeight w:val="127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Organisasi Masyarakat Adat Lokal</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catatan advokasi konflik lahan amsayarakat adat di Kalteng</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tidak, karena hampir semua konflik masyarakat adat dikalahkan oleh pengadilan dengan alasan pihak perusahaan memiliki alas hak atas </w:t>
            </w:r>
            <w:r w:rsidRPr="006D3871">
              <w:rPr>
                <w:rFonts w:ascii="Times New Roman" w:eastAsia="Times New Roman" w:hAnsi="Times New Roman" w:cs="Times New Roman"/>
                <w:color w:val="000000"/>
                <w:sz w:val="20"/>
                <w:szCs w:val="20"/>
                <w:lang w:eastAsia="id-ID"/>
              </w:rPr>
              <w:lastRenderedPageBreak/>
              <w:t>tanah  secara legal</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lastRenderedPageBreak/>
              <w:t>1</w:t>
            </w:r>
          </w:p>
        </w:tc>
      </w:tr>
      <w:tr w:rsidR="006D3871" w:rsidRPr="006D3871" w:rsidTr="006D3871">
        <w:trPr>
          <w:trHeight w:val="25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Akademisi</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kliping koran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sama sekali</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255"/>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Isu dalam PGA REDD+</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2977"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  II. Pengaturan Hak  </w:t>
            </w:r>
          </w:p>
        </w:tc>
        <w:tc>
          <w:tcPr>
            <w:tcW w:w="1252"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1725"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p>
        </w:tc>
      </w:tr>
      <w:tr w:rsidR="006D3871" w:rsidRPr="006D3871" w:rsidTr="006D3871">
        <w:trPr>
          <w:trHeight w:val="6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 a. Jumlah hak masyarakat dan bisnis yang telah diadministrasikan pada Unit yang mengadministrasikan hak </w:t>
            </w:r>
            <w:r w:rsidRPr="006D3871">
              <w:rPr>
                <w:rFonts w:ascii="Times New Roman" w:eastAsia="Times New Roman" w:hAnsi="Times New Roman" w:cs="Times New Roman"/>
                <w:b/>
                <w:bCs/>
                <w:color w:val="000000"/>
                <w:sz w:val="20"/>
                <w:szCs w:val="20"/>
                <w:lang w:eastAsia="id-ID"/>
              </w:rPr>
              <w:br/>
              <w:t xml:space="preserve">   masyarakat dan bisnis di Kementerian/SKPD </w:t>
            </w: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 : Kementerian/Dinas Kehutanan (Unit Pemberi Izin)</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1530"/>
        </w:trPr>
        <w:tc>
          <w:tcPr>
            <w:tcW w:w="998" w:type="dxa"/>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FIIa1</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Jumlah hak masyarakat dan bisnis yang telah diadministra-sikan pada Unit yang mengad-ministrasikan hak masyarakat dan bisnis di Kementerian/SKPD  </w:t>
            </w:r>
          </w:p>
        </w:tc>
        <w:tc>
          <w:tcPr>
            <w:tcW w:w="1417"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tersedia dokumen/data dimaksud</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ada informasi yang cukup pada saat  wwancara</w:t>
            </w:r>
          </w:p>
        </w:tc>
        <w:tc>
          <w:tcPr>
            <w:tcW w:w="1382" w:type="dxa"/>
            <w:tcBorders>
              <w:top w:val="nil"/>
              <w:left w:val="nil"/>
              <w:bottom w:val="single" w:sz="4" w:space="0" w:color="auto"/>
              <w:right w:val="single" w:sz="4" w:space="0" w:color="auto"/>
            </w:tcBorders>
            <w:shd w:val="clear" w:color="000000" w:fill="000000"/>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6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24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 b. Jumlah hak masyarakat dan bisnis yang telah diadministrasikan pada Unit yang mengadministrasikan hak </w:t>
            </w:r>
            <w:r w:rsidRPr="006D3871">
              <w:rPr>
                <w:rFonts w:ascii="Times New Roman" w:eastAsia="Times New Roman" w:hAnsi="Times New Roman" w:cs="Times New Roman"/>
                <w:b/>
                <w:bCs/>
                <w:color w:val="000000"/>
                <w:sz w:val="20"/>
                <w:szCs w:val="20"/>
                <w:lang w:eastAsia="id-ID"/>
              </w:rPr>
              <w:br/>
              <w:t xml:space="preserve">   masyarakat dan bisnis di Kementerian/SKPD </w:t>
            </w:r>
            <w:r w:rsidRPr="006D3871">
              <w:rPr>
                <w:rFonts w:ascii="Times New Roman" w:eastAsia="Times New Roman" w:hAnsi="Times New Roman" w:cs="Times New Roman"/>
                <w:b/>
                <w:bCs/>
                <w:color w:val="000000"/>
                <w:sz w:val="20"/>
                <w:szCs w:val="20"/>
                <w:lang w:eastAsia="id-ID"/>
              </w:rPr>
              <w:br/>
              <w:t xml:space="preserve"> </w:t>
            </w:r>
          </w:p>
        </w:tc>
      </w:tr>
      <w:tr w:rsidR="006D3871" w:rsidRPr="006D3871" w:rsidTr="006D3871">
        <w:trPr>
          <w:trHeight w:val="6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 : Bagian Perencanaan (Dirjen Planologi, UPT/BPKH, Dinas Kehutanan Kabupaten);</w:t>
            </w:r>
            <w:r w:rsidRPr="006D3871">
              <w:rPr>
                <w:rFonts w:ascii="Times New Roman" w:eastAsia="Times New Roman" w:hAnsi="Times New Roman" w:cs="Times New Roman"/>
                <w:b/>
                <w:bCs/>
                <w:color w:val="000000"/>
                <w:sz w:val="20"/>
                <w:szCs w:val="20"/>
                <w:lang w:eastAsia="id-ID"/>
              </w:rPr>
              <w:br/>
              <w:t xml:space="preserve">  Kementerian/Dinas Kehutanan (Unit Pemberi Izin)</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lastRenderedPageBreak/>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765"/>
        </w:trPr>
        <w:tc>
          <w:tcPr>
            <w:tcW w:w="998" w:type="dxa"/>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FIIb1</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Jumlah luas kawasan hutan yang tumpang tindih dengan penggunaan lahan lain  </w:t>
            </w:r>
          </w:p>
        </w:tc>
        <w:tc>
          <w:tcPr>
            <w:tcW w:w="1417"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tersedia dokumen dimaksud</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ada infomrasi yang cukup pada saat wawancara</w:t>
            </w:r>
          </w:p>
        </w:tc>
        <w:tc>
          <w:tcPr>
            <w:tcW w:w="1382" w:type="dxa"/>
            <w:tcBorders>
              <w:top w:val="nil"/>
              <w:left w:val="nil"/>
              <w:bottom w:val="single" w:sz="4" w:space="0" w:color="auto"/>
              <w:right w:val="single" w:sz="4" w:space="0" w:color="auto"/>
            </w:tcBorders>
            <w:shd w:val="clear" w:color="000000" w:fill="000000"/>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345"/>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24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 c. Jumlah konflik antar sesama penggunaan kawasan hutan </w:t>
            </w:r>
            <w:r w:rsidRPr="006D3871">
              <w:rPr>
                <w:rFonts w:ascii="Times New Roman" w:eastAsia="Times New Roman" w:hAnsi="Times New Roman" w:cs="Times New Roman"/>
                <w:b/>
                <w:bCs/>
                <w:color w:val="000000"/>
                <w:sz w:val="20"/>
                <w:szCs w:val="20"/>
                <w:lang w:eastAsia="id-ID"/>
              </w:rPr>
              <w:br/>
              <w:t xml:space="preserve"> </w:t>
            </w: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 : Bagian Perencanaan (Dirjen Planologi, UPT/BPKH, Dinas Kehutanan Kabupaten); LSM  (Provinsi &amp; Daerah)</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1095"/>
        </w:trPr>
        <w:tc>
          <w:tcPr>
            <w:tcW w:w="998" w:type="dxa"/>
            <w:vMerge w:val="restart"/>
            <w:tcBorders>
              <w:top w:val="nil"/>
              <w:left w:val="single" w:sz="4" w:space="0" w:color="auto"/>
              <w:bottom w:val="single" w:sz="4" w:space="0" w:color="000000"/>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FIIc1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Jumlah konflik antar sesama penggunaan kawasan hutan </w:t>
            </w:r>
          </w:p>
        </w:tc>
        <w:tc>
          <w:tcPr>
            <w:tcW w:w="1417" w:type="dxa"/>
            <w:vMerge w:val="restart"/>
            <w:tcBorders>
              <w:top w:val="nil"/>
              <w:left w:val="single" w:sz="4" w:space="0" w:color="auto"/>
              <w:bottom w:val="single" w:sz="4" w:space="0" w:color="000000"/>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Laporan tahunan WALHI disebut adanya puluhan konflik penggunaan lahan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3</w:t>
            </w:r>
          </w:p>
        </w:tc>
        <w:tc>
          <w:tcPr>
            <w:tcW w:w="1725"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ada puluhan konflik penggunaan sesa</w:t>
            </w:r>
          </w:p>
        </w:tc>
        <w:tc>
          <w:tcPr>
            <w:tcW w:w="1382" w:type="dxa"/>
            <w:tcBorders>
              <w:top w:val="nil"/>
              <w:left w:val="nil"/>
              <w:bottom w:val="single" w:sz="4" w:space="0" w:color="auto"/>
              <w:right w:val="single" w:sz="4" w:space="0" w:color="auto"/>
            </w:tcBorders>
            <w:shd w:val="clear" w:color="000000" w:fill="000000"/>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r>
      <w:tr w:rsidR="006D3871" w:rsidRPr="006D3871" w:rsidTr="006D3871">
        <w:trPr>
          <w:trHeight w:val="495"/>
        </w:trPr>
        <w:tc>
          <w:tcPr>
            <w:tcW w:w="998" w:type="dxa"/>
            <w:vMerge/>
            <w:tcBorders>
              <w:top w:val="nil"/>
              <w:left w:val="single" w:sz="4" w:space="0" w:color="auto"/>
              <w:bottom w:val="single" w:sz="4" w:space="0" w:color="000000"/>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000000"/>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tersedia dokumen dimaksud</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d. Jumlah praktik terbaik (best practices) atas resolusi konflik terkait pengakuan hak masy adat/lokal</w:t>
            </w: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 : Pemerintah (Pusat &amp; Daerah), LSM, AMAN</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765"/>
        </w:trPr>
        <w:tc>
          <w:tcPr>
            <w:tcW w:w="998" w:type="dxa"/>
            <w:vMerge w:val="restart"/>
            <w:tcBorders>
              <w:top w:val="nil"/>
              <w:left w:val="single" w:sz="4" w:space="0" w:color="auto"/>
              <w:bottom w:val="single" w:sz="4" w:space="0" w:color="auto"/>
              <w:right w:val="single" w:sz="4" w:space="0" w:color="auto"/>
            </w:tcBorders>
            <w:shd w:val="clear" w:color="000000" w:fill="FFFF00"/>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Jumlah praktik terbaik (best practices) atas resolusi konflik terkait pengakuan hak masyara-kat adat/lokal </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Jumlah praktik terbaik (</w:t>
            </w:r>
            <w:r w:rsidRPr="006D3871">
              <w:rPr>
                <w:rFonts w:ascii="Times New Roman" w:eastAsia="Times New Roman" w:hAnsi="Times New Roman" w:cs="Times New Roman"/>
                <w:i/>
                <w:iCs/>
                <w:color w:val="000000"/>
                <w:sz w:val="20"/>
                <w:szCs w:val="20"/>
                <w:lang w:eastAsia="id-ID"/>
              </w:rPr>
              <w:t>best practices</w:t>
            </w:r>
            <w:r w:rsidRPr="006D3871">
              <w:rPr>
                <w:rFonts w:ascii="Times New Roman" w:eastAsia="Times New Roman" w:hAnsi="Times New Roman" w:cs="Times New Roman"/>
                <w:color w:val="000000"/>
                <w:sz w:val="20"/>
                <w:szCs w:val="20"/>
                <w:lang w:eastAsia="id-ID"/>
              </w:rPr>
              <w:t>) atas resolusi konflik terkait pengakuan hak masyarakat adat/lokal</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ada dokumen relevan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tercatat , kecuali sekali memfasilitasi resolusi konflik di tahun 2008</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2</w:t>
            </w:r>
          </w:p>
        </w:tc>
      </w:tr>
      <w:tr w:rsidR="006D3871" w:rsidRPr="006D3871" w:rsidTr="006D3871">
        <w:trPr>
          <w:trHeight w:val="1020"/>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belum ada</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 Pergub Tanah Adat 13/2009 sudah memadai, tapi dalam konteks implementasi belum memadai</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2</w:t>
            </w:r>
          </w:p>
        </w:tc>
      </w:tr>
      <w:tr w:rsidR="006D3871" w:rsidRPr="006D3871" w:rsidTr="006D3871">
        <w:trPr>
          <w:trHeight w:val="76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Organisasi Masyarakat Adat Lokal</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dalam catatan laporan AMAN masyarakat selalu kalah</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ada praktek terbaik yang menurut Masyarakat Adat berpihak kepada masyarakat</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1020"/>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FIId1</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Pencegahan kekerasan</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Apakah resolusi konflik terkait pengakuan hak masy adat/lokal sudah mencakup pencegahan kekerasan?</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ada dokumen relevan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pada kasus tahun 2008 pola Hutan Kemasyarakatan PMDH yang diterima Perusahaan bisa meredam kekerasan</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3</w:t>
            </w:r>
          </w:p>
        </w:tc>
      </w:tr>
      <w:tr w:rsidR="006D3871" w:rsidRPr="006D3871" w:rsidTr="006D3871">
        <w:trPr>
          <w:trHeight w:val="1530"/>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laporan tahunan WALHI yang menyoroti keberpihakan aparat penegak hukum / pemerintah lebih condong kepada perusahaan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2</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 Belum. Pendekatan masih represif. Di Kepolisian cenderung intimidatif. Ditengarai aparat dipakai perusahaan dan menekan warga agar tidak perjuangkan hak-hak mereka.</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2</w:t>
            </w:r>
          </w:p>
        </w:tc>
      </w:tr>
      <w:tr w:rsidR="006D3871" w:rsidRPr="006D3871" w:rsidTr="006D3871">
        <w:trPr>
          <w:trHeight w:val="280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Organisasi Masyarakat Adat Lokal</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Laporan AMAN menyimpulkan aparat penegak hukum membela kepentingan perusahaan saja</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both"/>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Brimob menjadi penjaga di hamper semua perusahaan yang ada dan justru tidak membela Masyarakat Adat. Bahkan di Barito Utara ada oknum TNI yang menekan masyarakat agar mundur dalam perlawanan dengan perusahaan. Di Muara Teweh ada 2 rumah yang retak-retak Karena pembangunan jalan perusahaan yang menggusur jalan warga.</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255"/>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FIId2</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Penyelesaian konflik</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Apakah resolusi konflik terkait pengakuan hak masy adat/lokal sudah mencakup penyelesaian konflik?</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ada dokumen relevan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tercatat</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1020"/>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laporan tahunan WALHI yang menyoroti keberpihakan aparat penegak hukum / pemerintah lebih condong kepada perusahaan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2</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Complain masayarakat dinilai ganggu usaha perkebunan</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2</w:t>
            </w:r>
          </w:p>
        </w:tc>
      </w:tr>
      <w:tr w:rsidR="006D3871" w:rsidRPr="006D3871" w:rsidTr="006D3871">
        <w:trPr>
          <w:trHeight w:val="76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Organisasi Masyarakat Adat Lokal</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Laporan AMAN menyimpulkan aparat penegak hukum membela kepentingan perusahaan saja</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sama sekali</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255"/>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FIId3</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Penerimaan para pihak</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Apakah resolusi konflik terkait pengakuan hak masy adat/lokal sudah mencakup penerimaan para pihak?</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ada dokumen relevan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tercatat</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1020"/>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laporan tahunan WALHI yang menyoroti keberpihakan aparat penegak hukum / pemerintah lebih condong kepada perusahaan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belum</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76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Organisasi Masyarakat Adat Lokal</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Laporan AMAN menyimpulkan aparat penegak hukum membela kepentingan perusahaan saja</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sama sekali</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255"/>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FIId4</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Komitmen tetap dijalankan</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Apakah dalam resolusi konflik terkait pengakuan hak masyarakat adat/lokal, komitmen yang ada tetap dijalankan?</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ada dokumen relevan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tercatat</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1020"/>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laporan tahunan WALHI yang menyoroti keberpihakan aparat penegak hukum / pemerintah lebih condong kepada perusahaan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Kalau dikomplain, hanya didatangi di lapangan tapi tidak ada proses pemantauan atau penguatan komitmen</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76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Organisasi Masyarakat Adat Lokal</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Laporan AMAN menyimpulkan aparat penegak hukum membela kepentingan perusahaan saja</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demikian, yang terjadi dilapangan justru sebaliknya, masyarakat di intimidasi</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e. Jumlah/frekuensi  dan kualitas pemberitaan terkait pengakuan hak masy adat/lokal meningkat</w:t>
            </w:r>
          </w:p>
        </w:tc>
      </w:tr>
      <w:tr w:rsidR="006D3871" w:rsidRPr="006D3871" w:rsidTr="006D3871">
        <w:trPr>
          <w:trHeight w:val="255"/>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 : Media cetak</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2805"/>
        </w:trPr>
        <w:tc>
          <w:tcPr>
            <w:tcW w:w="998" w:type="dxa"/>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FIIe1</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Jumlah/frekuensi  dan kualitas pemberitaan terkait pengakuan hak masy adat/lokal meningkat</w:t>
            </w:r>
          </w:p>
        </w:tc>
        <w:tc>
          <w:tcPr>
            <w:tcW w:w="1417"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Apakah jumlah/frekuensi  dan kua-litas pemberitaan terkait pengaku-an hak masy adat/lokal mening-kat?</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Jurnalis</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Kliping yang beritakan isu ini</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4</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 Banyak pengaduan masyarakat didominiasi di kawasan perkebunan dan pertambangan. Halaman dan kebunya di caplok perusahaan. Sejauh ini solusi tidak pernah berpihak kepada masyarakat. Apalagi perusahaan sudah punya ijin prinsip dari Bupati. Advokasi Media tidak mudah, beda dengan LSM yang lakukan investigasi.</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4</w:t>
            </w:r>
          </w:p>
        </w:tc>
      </w:tr>
      <w:tr w:rsidR="006D3871" w:rsidRPr="006D3871" w:rsidTr="006D3871">
        <w:trPr>
          <w:trHeight w:val="1275"/>
        </w:trPr>
        <w:tc>
          <w:tcPr>
            <w:tcW w:w="998" w:type="dxa"/>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FIIe2</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Cakupan berita  mengenai pengakuan pejabat atas hak masyarakat adat</w:t>
            </w:r>
          </w:p>
        </w:tc>
        <w:tc>
          <w:tcPr>
            <w:tcW w:w="1417"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Apakah cakupan berita mengenai pengakuan pejabat atas hak ma-syarakat adat sudah memadai?</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Jurnalis</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Kliping yang beritakan isu ini</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4</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Ada Pergub no. 30/2009 tentang Tanah Adat artinya banyak berita yang didasari atas pertanyaan hak masayarakat yang diakui pemerintah</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4</w:t>
            </w:r>
          </w:p>
        </w:tc>
      </w:tr>
      <w:tr w:rsidR="006D3871" w:rsidRPr="006D3871" w:rsidTr="006D3871">
        <w:trPr>
          <w:trHeight w:val="1785"/>
        </w:trPr>
        <w:tc>
          <w:tcPr>
            <w:tcW w:w="998" w:type="dxa"/>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FIIe3</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Posisi berita dalam media cetak </w:t>
            </w:r>
          </w:p>
        </w:tc>
        <w:tc>
          <w:tcPr>
            <w:tcW w:w="1417"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Apakah Posisi berita dalam media cetak sudah memadai?</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Jurnalis</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Kliping yang beritakan isu ini</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2</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kurang memadai, Sejauh ini baru, artinya mereka tidak berani mengambil kebijakan sangat stratgegis.  Kayaknya masih ragu-ragu juga. Tidaka da solusi yang langsung menyelesaikan. Masalah itu sudah ada (sejak dulu : pen)</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2</w:t>
            </w:r>
          </w:p>
        </w:tc>
      </w:tr>
      <w:tr w:rsidR="006D3871" w:rsidRPr="006D3871" w:rsidTr="006D3871">
        <w:trPr>
          <w:trHeight w:val="1530"/>
        </w:trPr>
        <w:tc>
          <w:tcPr>
            <w:tcW w:w="998" w:type="dxa"/>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FIIe4</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Posisi media dalam pemberitaan </w:t>
            </w:r>
          </w:p>
        </w:tc>
        <w:tc>
          <w:tcPr>
            <w:tcW w:w="1417"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Apakah Posisi media dalam pemberitaan sudah memadai?</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Jurnalis</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Kliping yang beritakan isu ini</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2</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Kebijakan redaksi untuk konflik seperti itu akan ekspos kalau ada gejolak. Tapi belum ditempatkan  menjadi topic utama . redaksi baru merspon bila terjadi gejolak, tidak ada follow up habis-habis an.</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2</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255"/>
        </w:trPr>
        <w:tc>
          <w:tcPr>
            <w:tcW w:w="3549" w:type="dxa"/>
            <w:gridSpan w:val="3"/>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Isu dalam PGA REDD+</w:t>
            </w:r>
          </w:p>
        </w:tc>
        <w:tc>
          <w:tcPr>
            <w:tcW w:w="5954" w:type="dxa"/>
            <w:gridSpan w:val="4"/>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a. Jumlah biaya transaksi pengurusan izin pengelolaan hutankelola hutan dan lahan gambut</w:t>
            </w: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24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Pengusaha, Organisasi Masyarakat Adat, LSM</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990"/>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t>FIIIa1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t xml:space="preserve">Jumlah biaya transaksi pengurusan izin pengelolaan hutan </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Jumlah biaya transaksi pengurusan izin pengelolaan hutan</w:t>
            </w:r>
          </w:p>
        </w:tc>
        <w:tc>
          <w:tcPr>
            <w:tcW w:w="1134"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dokumen tarif pengurusan perijinan </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tau pasti, karena pada prakteknya selalu dilakukan diluar loket.</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960"/>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Organisasi Masyarakat Adat Lokal</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ada dokumen relevan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tau dg jelas, karena tidka ada transparansi</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69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 b. Kewenangan dan intervensi pemerintah dalam proses pengelolaan hutan yang menjadi domain pelaku </w:t>
            </w:r>
            <w:r w:rsidRPr="006D3871">
              <w:rPr>
                <w:rFonts w:ascii="Times New Roman" w:eastAsia="Times New Roman" w:hAnsi="Times New Roman" w:cs="Times New Roman"/>
                <w:b/>
                <w:bCs/>
                <w:color w:val="000000"/>
                <w:sz w:val="20"/>
                <w:szCs w:val="20"/>
                <w:lang w:eastAsia="id-ID"/>
              </w:rPr>
              <w:br/>
              <w:t xml:space="preserve">  pemegang ijin</w:t>
            </w: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24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Peraturan Prosedur Pelaksanaan Pengurusan Izin</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1845"/>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lastRenderedPageBreak/>
              <w:t>FIIIb1</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t xml:space="preserve">Jumlah tahapan dan bentuk persyaratan setiap tahapan dalam pengurusan izin </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Pada dasarnya perijinan ada di Kementerian Kehutanan (Jakarta) atas rekomendasi Dinas Kehutanan Kabupaten, Dinas Kehutanan Prov mendapat tembusan</w:t>
            </w:r>
          </w:p>
        </w:tc>
        <w:tc>
          <w:tcPr>
            <w:tcW w:w="125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000000" w:fill="000000"/>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r>
      <w:tr w:rsidR="006D3871" w:rsidRPr="006D3871" w:rsidTr="006D3871">
        <w:trPr>
          <w:trHeight w:val="94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Dinas Pertanian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didapat data, karena pejabat yang berwenang tidak ada di tempat</w:t>
            </w:r>
          </w:p>
        </w:tc>
        <w:tc>
          <w:tcPr>
            <w:tcW w:w="125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000000" w:fill="000000"/>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r>
      <w:tr w:rsidR="006D3871" w:rsidRPr="006D3871" w:rsidTr="006D3871">
        <w:trPr>
          <w:trHeight w:val="1710"/>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BPN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sebenarnya tidak berbelit, karena jelas dan terbuka. Akan tetapi karena RTRW belum final, BPN tidak bisa layani sertifikat di beberapa tempat </w:t>
            </w:r>
          </w:p>
        </w:tc>
        <w:tc>
          <w:tcPr>
            <w:tcW w:w="125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3</w:t>
            </w:r>
          </w:p>
        </w:tc>
        <w:tc>
          <w:tcPr>
            <w:tcW w:w="1725" w:type="dxa"/>
            <w:tcBorders>
              <w:top w:val="nil"/>
              <w:left w:val="nil"/>
              <w:bottom w:val="single" w:sz="4" w:space="0" w:color="auto"/>
              <w:right w:val="single" w:sz="4" w:space="0" w:color="auto"/>
            </w:tcBorders>
            <w:shd w:val="clear" w:color="000000" w:fill="000000"/>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p>
        </w:tc>
        <w:tc>
          <w:tcPr>
            <w:tcW w:w="1417"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255"/>
        </w:trPr>
        <w:tc>
          <w:tcPr>
            <w:tcW w:w="3549" w:type="dxa"/>
            <w:gridSpan w:val="3"/>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Isu dalam PGA REDD+</w:t>
            </w:r>
          </w:p>
        </w:tc>
        <w:tc>
          <w:tcPr>
            <w:tcW w:w="5954" w:type="dxa"/>
            <w:gridSpan w:val="4"/>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63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 a. Jumlah kelompok masyarakat adat/lokal yang secara faktual mengelola hutan, gambut, kebun, termasuk </w:t>
            </w:r>
            <w:r w:rsidRPr="006D3871">
              <w:rPr>
                <w:rFonts w:ascii="Times New Roman" w:eastAsia="Times New Roman" w:hAnsi="Times New Roman" w:cs="Times New Roman"/>
                <w:b/>
                <w:bCs/>
                <w:color w:val="000000"/>
                <w:sz w:val="20"/>
                <w:szCs w:val="20"/>
                <w:lang w:eastAsia="id-ID"/>
              </w:rPr>
              <w:br/>
              <w:t xml:space="preserve">  Izin HTR/Hutan Desa/Hutan Kemasyarakatan dalam satu provinsi/kab/kota</w:t>
            </w: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24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Kementerian &amp; Dinas Kehutanan, Kementerian &amp; Dinas Pertanian, BPN &amp; BPN-Daerah</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2400"/>
        </w:trPr>
        <w:tc>
          <w:tcPr>
            <w:tcW w:w="998" w:type="dxa"/>
            <w:vMerge w:val="restart"/>
            <w:tcBorders>
              <w:top w:val="nil"/>
              <w:left w:val="single" w:sz="4" w:space="0" w:color="auto"/>
              <w:bottom w:val="single" w:sz="4" w:space="0" w:color="000000"/>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t>FIVa1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t>Jumlah kelompok masyarakat adat/lokal yang secara faktual mengelola hutan, gambut, ke-bun, termasuk Izin HTR/Hutan Desa/Hutan Kemasyarakatan dalam satu provinsi/kab/kota</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tidak tercatat secara rinci di tingkat Provinsi, data tersebut bisa diperoleh di tingkat Kabupaten. </w:t>
            </w:r>
          </w:p>
        </w:tc>
        <w:tc>
          <w:tcPr>
            <w:tcW w:w="125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nil"/>
              <w:right w:val="nil"/>
            </w:tcBorders>
            <w:shd w:val="clear" w:color="000000" w:fill="000000"/>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382" w:type="dxa"/>
            <w:tcBorders>
              <w:top w:val="nil"/>
              <w:left w:val="nil"/>
              <w:bottom w:val="nil"/>
              <w:right w:val="nil"/>
            </w:tcBorders>
            <w:shd w:val="clear" w:color="000000" w:fill="000000"/>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r>
      <w:tr w:rsidR="006D3871" w:rsidRPr="006D3871" w:rsidTr="006D3871">
        <w:trPr>
          <w:trHeight w:val="1290"/>
        </w:trPr>
        <w:tc>
          <w:tcPr>
            <w:tcW w:w="998" w:type="dxa"/>
            <w:vMerge/>
            <w:tcBorders>
              <w:top w:val="nil"/>
              <w:left w:val="single" w:sz="4" w:space="0" w:color="auto"/>
              <w:bottom w:val="single" w:sz="4" w:space="0" w:color="000000"/>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p>
        </w:tc>
        <w:tc>
          <w:tcPr>
            <w:tcW w:w="1417" w:type="dxa"/>
            <w:vMerge/>
            <w:tcBorders>
              <w:top w:val="nil"/>
              <w:left w:val="single" w:sz="4" w:space="0" w:color="auto"/>
              <w:bottom w:val="single" w:sz="4" w:space="0" w:color="000000"/>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Dinas Pertanian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diperoleh dokumen relevan karena pejabat yang berwenang tidak ada ditempat dalam beberapa kali kunjungan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725" w:type="dxa"/>
            <w:tcBorders>
              <w:top w:val="single" w:sz="4" w:space="0" w:color="auto"/>
              <w:left w:val="nil"/>
              <w:bottom w:val="single" w:sz="4" w:space="0" w:color="auto"/>
              <w:right w:val="single" w:sz="4" w:space="0" w:color="auto"/>
            </w:tcBorders>
            <w:shd w:val="clear" w:color="000000" w:fill="000000"/>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382" w:type="dxa"/>
            <w:tcBorders>
              <w:top w:val="single" w:sz="4" w:space="0" w:color="auto"/>
              <w:left w:val="nil"/>
              <w:bottom w:val="single" w:sz="4" w:space="0" w:color="auto"/>
              <w:right w:val="single" w:sz="4" w:space="0" w:color="auto"/>
            </w:tcBorders>
            <w:shd w:val="clear" w:color="000000" w:fill="000000"/>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r>
      <w:tr w:rsidR="006D3871" w:rsidRPr="006D3871" w:rsidTr="006D3871">
        <w:trPr>
          <w:trHeight w:val="1335"/>
        </w:trPr>
        <w:tc>
          <w:tcPr>
            <w:tcW w:w="998" w:type="dxa"/>
            <w:vMerge/>
            <w:tcBorders>
              <w:top w:val="nil"/>
              <w:left w:val="single" w:sz="4" w:space="0" w:color="auto"/>
              <w:bottom w:val="single" w:sz="4" w:space="0" w:color="000000"/>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p>
        </w:tc>
        <w:tc>
          <w:tcPr>
            <w:tcW w:w="1417" w:type="dxa"/>
            <w:vMerge/>
            <w:tcBorders>
              <w:top w:val="nil"/>
              <w:left w:val="single" w:sz="4" w:space="0" w:color="auto"/>
              <w:bottom w:val="single" w:sz="4" w:space="0" w:color="000000"/>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BPN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tidak tercatat secara rinci di tingkat Provinsi, data tersebut bisa diperoleh di tingkat Kabupaten. </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000000" w:fill="000000"/>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p>
        </w:tc>
        <w:tc>
          <w:tcPr>
            <w:tcW w:w="1417"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b. Jumlah kawasan yang dikelola secara berkelanjutan oleh pelaku pengelolaan hutan</w:t>
            </w: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24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Pelaku Pemegang Izin, Kementerian &amp; Dinas Kehutanan (Provinsi &amp; Kabupaten)</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Panduan Analisis </w:t>
            </w:r>
            <w:r w:rsidRPr="006D3871">
              <w:rPr>
                <w:rFonts w:ascii="Times New Roman" w:eastAsia="Times New Roman" w:hAnsi="Times New Roman" w:cs="Times New Roman"/>
                <w:b/>
                <w:bCs/>
                <w:color w:val="000000"/>
                <w:sz w:val="20"/>
                <w:szCs w:val="20"/>
                <w:lang w:eastAsia="id-ID"/>
              </w:rPr>
              <w:lastRenderedPageBreak/>
              <w:t>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lastRenderedPageBreak/>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Kategori Data </w:t>
            </w:r>
            <w:r w:rsidRPr="006D3871">
              <w:rPr>
                <w:rFonts w:ascii="Times New Roman" w:eastAsia="Times New Roman" w:hAnsi="Times New Roman" w:cs="Times New Roman"/>
                <w:b/>
                <w:bCs/>
                <w:color w:val="000000"/>
                <w:sz w:val="20"/>
                <w:szCs w:val="20"/>
                <w:lang w:eastAsia="id-ID"/>
              </w:rPr>
              <w:lastRenderedPageBreak/>
              <w:t>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lastRenderedPageBreak/>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Kategori Data </w:t>
            </w:r>
            <w:r w:rsidRPr="006D3871">
              <w:rPr>
                <w:rFonts w:ascii="Times New Roman" w:eastAsia="Times New Roman" w:hAnsi="Times New Roman" w:cs="Times New Roman"/>
                <w:b/>
                <w:bCs/>
                <w:color w:val="000000"/>
                <w:sz w:val="20"/>
                <w:szCs w:val="20"/>
                <w:lang w:eastAsia="id-ID"/>
              </w:rPr>
              <w:lastRenderedPageBreak/>
              <w:t>Wawancara</w:t>
            </w:r>
          </w:p>
        </w:tc>
      </w:tr>
      <w:tr w:rsidR="006D3871" w:rsidRPr="006D3871" w:rsidTr="006D3871">
        <w:trPr>
          <w:trHeight w:val="1785"/>
        </w:trPr>
        <w:tc>
          <w:tcPr>
            <w:tcW w:w="998" w:type="dxa"/>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lastRenderedPageBreak/>
              <w:t>FIVb1</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t xml:space="preserve">Jumlah kawasan yang dikelola secara berkelanjutan oleh pelaku pengelolaan hutan </w:t>
            </w:r>
          </w:p>
        </w:tc>
        <w:tc>
          <w:tcPr>
            <w:tcW w:w="1417"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dalam hal mendapat pengakuan dari semua pihak, termasuk masyarakat, 2 HPH Restorasi yang telah berjalan barangkali bisa mewakili. Meskipun ada juga usaha perkebunan, dan usaha lain yg juga dinilai baik oleh Pemerintah</w:t>
            </w:r>
          </w:p>
        </w:tc>
        <w:tc>
          <w:tcPr>
            <w:tcW w:w="125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3</w:t>
            </w:r>
          </w:p>
        </w:tc>
        <w:tc>
          <w:tcPr>
            <w:tcW w:w="1725" w:type="dxa"/>
            <w:tcBorders>
              <w:top w:val="nil"/>
              <w:left w:val="nil"/>
              <w:bottom w:val="nil"/>
              <w:right w:val="nil"/>
            </w:tcBorders>
            <w:shd w:val="clear" w:color="000000" w:fill="000000"/>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382" w:type="dxa"/>
            <w:tcBorders>
              <w:top w:val="nil"/>
              <w:left w:val="nil"/>
              <w:bottom w:val="nil"/>
              <w:right w:val="nil"/>
            </w:tcBorders>
            <w:shd w:val="clear" w:color="000000" w:fill="000000"/>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p>
        </w:tc>
        <w:tc>
          <w:tcPr>
            <w:tcW w:w="1417"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c. Persentase hutan yang memiliki pengelola (KPH)</w:t>
            </w: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24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Kementerian Kehutanan &amp; Dinas Kehutanan (Provinsi &amp; Kabupaten)</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4845"/>
        </w:trPr>
        <w:tc>
          <w:tcPr>
            <w:tcW w:w="998" w:type="dxa"/>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t>FIVc1</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t>Persentase hutan yang memiliki pengelola (KPH)</w:t>
            </w:r>
          </w:p>
        </w:tc>
        <w:tc>
          <w:tcPr>
            <w:tcW w:w="1417"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Dokumen Usulan revisi RTRWP Prov Kalteng th 2007 luas hutan (plus Taman Laut) 12.097.144 ha. SK Menhut No. SK.2/MENHUT-II/2012 luas KPH untuk Kalteng KPHL 454.443 ha, KPHP 8.056.081 ha.                                                     Bila merujuk pada usulan revisi RTRWP Kalteng tahun 2007 (atas RTRWP 2003) prosentase pencadangan kurang lebih 70%. Namun luasan hutan ini masih ada perbedaan dengan SK Menhut 2 tahun 2011. Saat dilakukan penelitian ini KPH yang sudah mulai beroperasi (tahap persiapan) dalam bentuk UPTD Dinas Kehutanan Kabupaten Kapuas dengan luasan 105.372 ha</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4</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bila merujuk pada usulan revisi RTRWP Kalteng tahun 2007 (atas RTRWP 2003) prosentase pencadangan kurang lebih 70%. Namun luasan hutan ini masih ada perbedaan dengan SK Menhut 2 tahun 2011. Saat dilakukan penelitian ini KPH yang sudah mulai beroperasi (tahap persiapan) dalam bentuk UPTD Dinas Kehutanan Kabupaten Kapuas dengan luasan 105.372 ha</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4</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p>
        </w:tc>
        <w:tc>
          <w:tcPr>
            <w:tcW w:w="1417"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 d. Jumlah pengelolaan hutan berbasis ecological services    </w:t>
            </w: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24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Kementerian Kehutanan (Dirjen PHKA, BUK), Dinas Kehutanan (Provinsi &amp; Kabupaten)</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Panduan Analisis </w:t>
            </w:r>
            <w:r w:rsidRPr="006D3871">
              <w:rPr>
                <w:rFonts w:ascii="Times New Roman" w:eastAsia="Times New Roman" w:hAnsi="Times New Roman" w:cs="Times New Roman"/>
                <w:b/>
                <w:bCs/>
                <w:color w:val="000000"/>
                <w:sz w:val="20"/>
                <w:szCs w:val="20"/>
                <w:lang w:eastAsia="id-ID"/>
              </w:rPr>
              <w:lastRenderedPageBreak/>
              <w:t>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lastRenderedPageBreak/>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Kategori Data </w:t>
            </w:r>
            <w:r w:rsidRPr="006D3871">
              <w:rPr>
                <w:rFonts w:ascii="Times New Roman" w:eastAsia="Times New Roman" w:hAnsi="Times New Roman" w:cs="Times New Roman"/>
                <w:b/>
                <w:bCs/>
                <w:color w:val="000000"/>
                <w:sz w:val="20"/>
                <w:szCs w:val="20"/>
                <w:lang w:eastAsia="id-ID"/>
              </w:rPr>
              <w:lastRenderedPageBreak/>
              <w:t>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lastRenderedPageBreak/>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Kategori Data </w:t>
            </w:r>
            <w:r w:rsidRPr="006D3871">
              <w:rPr>
                <w:rFonts w:ascii="Times New Roman" w:eastAsia="Times New Roman" w:hAnsi="Times New Roman" w:cs="Times New Roman"/>
                <w:b/>
                <w:bCs/>
                <w:color w:val="000000"/>
                <w:sz w:val="20"/>
                <w:szCs w:val="20"/>
                <w:lang w:eastAsia="id-ID"/>
              </w:rPr>
              <w:lastRenderedPageBreak/>
              <w:t>Wawancara</w:t>
            </w:r>
          </w:p>
        </w:tc>
      </w:tr>
      <w:tr w:rsidR="006D3871" w:rsidRPr="006D3871" w:rsidTr="006D3871">
        <w:trPr>
          <w:trHeight w:val="3825"/>
        </w:trPr>
        <w:tc>
          <w:tcPr>
            <w:tcW w:w="998" w:type="dxa"/>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lastRenderedPageBreak/>
              <w:t>FIVd1</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t xml:space="preserve">Jumlah pengelolaan hutan berbasis ecological services </w:t>
            </w:r>
          </w:p>
        </w:tc>
        <w:tc>
          <w:tcPr>
            <w:tcW w:w="1417"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diantaranya:                            1. Nyaru Menteng – sarana wisata di kawasan hutan konservasi (sekaligus ada kawasan rehablitasi orang utan);                                             2. Bukit Tangkiling – sarana wisata di Kawasan Cagar Alam (saat ini sedang dikembangkan kelompok usaha pengelolaan sumberdaya air Bukit Tengkiling oleh masyarakat desa di kaki bukit dibawah arahan BKSDA Kalteng;                         3. Rungan Sari – resort terbatas di kawasan hutan lindung                                        4. Taman Nasional Sebangau</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2</w:t>
            </w:r>
          </w:p>
        </w:tc>
        <w:tc>
          <w:tcPr>
            <w:tcW w:w="1725"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p>
        </w:tc>
        <w:tc>
          <w:tcPr>
            <w:tcW w:w="1417"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255"/>
        </w:trPr>
        <w:tc>
          <w:tcPr>
            <w:tcW w:w="3549" w:type="dxa"/>
            <w:gridSpan w:val="3"/>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Isu dalam PGA REDD+</w:t>
            </w:r>
          </w:p>
        </w:tc>
        <w:tc>
          <w:tcPr>
            <w:tcW w:w="5954" w:type="dxa"/>
            <w:gridSpan w:val="4"/>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 a. Jumlah pelanggaran penggunaan anggaran di tingkat provinsi dan kab/kota </w:t>
            </w: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24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Laporan Inspektorat, BPKP &amp; BPK, Bawasda</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1020"/>
        </w:trPr>
        <w:tc>
          <w:tcPr>
            <w:tcW w:w="998" w:type="dxa"/>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t>FVa1</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t xml:space="preserve">Jumlah pelanggaran pengguna-an anggaran di tingkat provinsi dan kab/kota  </w:t>
            </w:r>
          </w:p>
        </w:tc>
        <w:tc>
          <w:tcPr>
            <w:tcW w:w="1417"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BPK, BPKP, BAWASDA, INSPEKTORAT</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didapat data</w:t>
            </w:r>
          </w:p>
        </w:tc>
        <w:tc>
          <w:tcPr>
            <w:tcW w:w="125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nil"/>
              <w:right w:val="nil"/>
            </w:tcBorders>
            <w:shd w:val="clear" w:color="000000" w:fill="000000"/>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382" w:type="dxa"/>
            <w:tcBorders>
              <w:top w:val="nil"/>
              <w:left w:val="nil"/>
              <w:bottom w:val="nil"/>
              <w:right w:val="nil"/>
            </w:tcBorders>
            <w:shd w:val="clear" w:color="000000" w:fill="000000"/>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p>
        </w:tc>
        <w:tc>
          <w:tcPr>
            <w:tcW w:w="1417"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b. Jumlah sanksi administratif serius (pencabutan izin, dan denda, yang telah dijatuhkan)</w:t>
            </w: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24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Kementrian &amp; Dinas Kehutanan</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1020"/>
        </w:trPr>
        <w:tc>
          <w:tcPr>
            <w:tcW w:w="998" w:type="dxa"/>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t>FVb1</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t>Jumlah sanksi administratif serius (pencabutan izin, dan denda, yang telah dijatuhkan)</w:t>
            </w:r>
          </w:p>
        </w:tc>
        <w:tc>
          <w:tcPr>
            <w:tcW w:w="1417"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didapat data di Dishut Prov kalteng</w:t>
            </w:r>
          </w:p>
        </w:tc>
        <w:tc>
          <w:tcPr>
            <w:tcW w:w="125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nil"/>
              <w:right w:val="nil"/>
            </w:tcBorders>
            <w:shd w:val="clear" w:color="000000" w:fill="000000"/>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382" w:type="dxa"/>
            <w:tcBorders>
              <w:top w:val="nil"/>
              <w:left w:val="nil"/>
              <w:bottom w:val="nil"/>
              <w:right w:val="nil"/>
            </w:tcBorders>
            <w:shd w:val="clear" w:color="000000" w:fill="000000"/>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p>
        </w:tc>
        <w:tc>
          <w:tcPr>
            <w:tcW w:w="1417"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 c. Jumlah kasus pidana kehutanan yang diajukan/diproses oleh polisi </w:t>
            </w: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lastRenderedPageBreak/>
              <w:t>Sumber data</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24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Kepolisian (Nasional &amp; Daerah)</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2550"/>
        </w:trPr>
        <w:tc>
          <w:tcPr>
            <w:tcW w:w="998" w:type="dxa"/>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t>FVc1</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t xml:space="preserve">Jumlah kasus pidana kehutanan yang diajukan/diproses oleh polisi </w:t>
            </w:r>
          </w:p>
        </w:tc>
        <w:tc>
          <w:tcPr>
            <w:tcW w:w="1417"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POLDA </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Dokumen Kasus Ditreskrim POLDA Kalteng - yang mencatat jumlah kasus terkait kehutanan sejak tahun 2011-2012 (sd Juni 2012)    tahun 2011 ada 135 kasus terkait hutan - selesai naik ke kejaksaan 114 kasus (84%).tahun 2012 s/d Juni - ada  61 kasus - selesai naik ke kejaksaan 53 kasus (87%)</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5</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Tahun 2011-ada 135 kasus terkait hutan, selesai naik ke Kejaksaan 114 kasus (84%), Tahun 2012 s/d Juni – ada 61 kasus, selesai naik ke kejasaan 53 kasus (87%)</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5</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p>
        </w:tc>
        <w:tc>
          <w:tcPr>
            <w:tcW w:w="1417"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585"/>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 d. Jumlah kasus terkait kehutanan (korupsi, AML, Pidanan LH, atau Pajak yang terkait kehutanan) yang </w:t>
            </w:r>
            <w:r w:rsidRPr="006D3871">
              <w:rPr>
                <w:rFonts w:ascii="Times New Roman" w:eastAsia="Times New Roman" w:hAnsi="Times New Roman" w:cs="Times New Roman"/>
                <w:b/>
                <w:bCs/>
                <w:color w:val="000000"/>
                <w:sz w:val="20"/>
                <w:szCs w:val="20"/>
                <w:lang w:eastAsia="id-ID"/>
              </w:rPr>
              <w:br/>
              <w:t xml:space="preserve">  diputuskan oleh MA</w:t>
            </w:r>
            <w:r w:rsidRPr="006D3871">
              <w:rPr>
                <w:rFonts w:ascii="Times New Roman" w:eastAsia="Times New Roman" w:hAnsi="Times New Roman" w:cs="Times New Roman"/>
                <w:b/>
                <w:bCs/>
                <w:color w:val="000000"/>
                <w:sz w:val="20"/>
                <w:szCs w:val="20"/>
                <w:lang w:eastAsia="id-ID"/>
              </w:rPr>
              <w:br/>
              <w:t xml:space="preserve"> </w:t>
            </w: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24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Kepolisian (Nasional &amp; Daerah)</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1380"/>
        </w:trPr>
        <w:tc>
          <w:tcPr>
            <w:tcW w:w="998" w:type="dxa"/>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t>FVd1</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t>Jumlah kasus terkait kehutanan (korupsi, AML, Pidanan LH, atau Pajak yang terkait kehutanan) yang diputuskan oleh MA</w:t>
            </w:r>
          </w:p>
        </w:tc>
        <w:tc>
          <w:tcPr>
            <w:tcW w:w="1417"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POLDA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ada data relevan</w:t>
            </w:r>
          </w:p>
        </w:tc>
        <w:tc>
          <w:tcPr>
            <w:tcW w:w="125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nil"/>
              <w:right w:val="nil"/>
            </w:tcBorders>
            <w:shd w:val="clear" w:color="000000" w:fill="000000"/>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382" w:type="dxa"/>
            <w:tcBorders>
              <w:top w:val="nil"/>
              <w:left w:val="nil"/>
              <w:bottom w:val="nil"/>
              <w:right w:val="nil"/>
            </w:tcBorders>
            <w:shd w:val="clear" w:color="000000" w:fill="000000"/>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p>
        </w:tc>
        <w:tc>
          <w:tcPr>
            <w:tcW w:w="1417"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e. Index integritas KPK sektor kehutanan</w:t>
            </w:r>
            <w:r w:rsidRPr="006D3871">
              <w:rPr>
                <w:rFonts w:ascii="Times New Roman" w:eastAsia="Times New Roman" w:hAnsi="Times New Roman" w:cs="Times New Roman"/>
                <w:b/>
                <w:bCs/>
                <w:color w:val="000000"/>
                <w:sz w:val="20"/>
                <w:szCs w:val="20"/>
                <w:lang w:eastAsia="id-ID"/>
              </w:rPr>
              <w:br/>
              <w:t xml:space="preserve"> </w:t>
            </w: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24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Hasil Survai KPK tentang Integritas</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510"/>
        </w:trPr>
        <w:tc>
          <w:tcPr>
            <w:tcW w:w="998" w:type="dxa"/>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t>FVe1</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t>Index integritas KPK sektor kehutanan</w:t>
            </w:r>
          </w:p>
        </w:tc>
        <w:tc>
          <w:tcPr>
            <w:tcW w:w="1417"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F2DDDC"/>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KPK &amp; TII</w:t>
            </w:r>
          </w:p>
        </w:tc>
        <w:tc>
          <w:tcPr>
            <w:tcW w:w="1843" w:type="dxa"/>
            <w:tcBorders>
              <w:top w:val="nil"/>
              <w:left w:val="nil"/>
              <w:bottom w:val="single" w:sz="4" w:space="0" w:color="auto"/>
              <w:right w:val="single" w:sz="4" w:space="0" w:color="auto"/>
            </w:tcBorders>
            <w:shd w:val="clear" w:color="000000" w:fill="F2DDDC"/>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252" w:type="dxa"/>
            <w:tcBorders>
              <w:top w:val="nil"/>
              <w:left w:val="nil"/>
              <w:bottom w:val="single" w:sz="4" w:space="0" w:color="auto"/>
              <w:right w:val="single" w:sz="4" w:space="0" w:color="auto"/>
            </w:tcBorders>
            <w:shd w:val="clear" w:color="000000" w:fill="F2DDDC"/>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725"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ada wawancara</w:t>
            </w:r>
          </w:p>
        </w:tc>
        <w:tc>
          <w:tcPr>
            <w:tcW w:w="1382" w:type="dxa"/>
            <w:tcBorders>
              <w:top w:val="nil"/>
              <w:left w:val="nil"/>
              <w:bottom w:val="single" w:sz="4" w:space="0" w:color="auto"/>
              <w:right w:val="single" w:sz="4" w:space="0" w:color="auto"/>
            </w:tcBorders>
            <w:shd w:val="clear" w:color="000000" w:fill="000000"/>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p>
        </w:tc>
        <w:tc>
          <w:tcPr>
            <w:tcW w:w="1417"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f. Index persepsi korupsi di lokasi assesmen (TII)</w:t>
            </w:r>
            <w:r w:rsidRPr="006D3871">
              <w:rPr>
                <w:rFonts w:ascii="Times New Roman" w:eastAsia="Times New Roman" w:hAnsi="Times New Roman" w:cs="Times New Roman"/>
                <w:b/>
                <w:bCs/>
                <w:color w:val="000000"/>
                <w:sz w:val="20"/>
                <w:szCs w:val="20"/>
                <w:lang w:eastAsia="id-ID"/>
              </w:rPr>
              <w:br/>
            </w:r>
            <w:r w:rsidRPr="006D3871">
              <w:rPr>
                <w:rFonts w:ascii="Times New Roman" w:eastAsia="Times New Roman" w:hAnsi="Times New Roman" w:cs="Times New Roman"/>
                <w:b/>
                <w:bCs/>
                <w:color w:val="000000"/>
                <w:sz w:val="20"/>
                <w:szCs w:val="20"/>
                <w:lang w:eastAsia="id-ID"/>
              </w:rPr>
              <w:br/>
            </w:r>
            <w:r w:rsidRPr="006D3871">
              <w:rPr>
                <w:rFonts w:ascii="Times New Roman" w:eastAsia="Times New Roman" w:hAnsi="Times New Roman" w:cs="Times New Roman"/>
                <w:b/>
                <w:bCs/>
                <w:color w:val="000000"/>
                <w:sz w:val="20"/>
                <w:szCs w:val="20"/>
                <w:lang w:eastAsia="id-ID"/>
              </w:rPr>
              <w:br/>
              <w:t xml:space="preserve"> </w:t>
            </w: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24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Hasil Survai Persepsi Transparansi Internasional Indonesia (TII)</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Panduan Analisis </w:t>
            </w:r>
            <w:r w:rsidRPr="006D3871">
              <w:rPr>
                <w:rFonts w:ascii="Times New Roman" w:eastAsia="Times New Roman" w:hAnsi="Times New Roman" w:cs="Times New Roman"/>
                <w:b/>
                <w:bCs/>
                <w:color w:val="000000"/>
                <w:sz w:val="20"/>
                <w:szCs w:val="20"/>
                <w:lang w:eastAsia="id-ID"/>
              </w:rPr>
              <w:lastRenderedPageBreak/>
              <w:t>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lastRenderedPageBreak/>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Kategori Data </w:t>
            </w:r>
            <w:r w:rsidRPr="006D3871">
              <w:rPr>
                <w:rFonts w:ascii="Times New Roman" w:eastAsia="Times New Roman" w:hAnsi="Times New Roman" w:cs="Times New Roman"/>
                <w:b/>
                <w:bCs/>
                <w:color w:val="000000"/>
                <w:sz w:val="20"/>
                <w:szCs w:val="20"/>
                <w:lang w:eastAsia="id-ID"/>
              </w:rPr>
              <w:lastRenderedPageBreak/>
              <w:t>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lastRenderedPageBreak/>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Kategori Data </w:t>
            </w:r>
            <w:r w:rsidRPr="006D3871">
              <w:rPr>
                <w:rFonts w:ascii="Times New Roman" w:eastAsia="Times New Roman" w:hAnsi="Times New Roman" w:cs="Times New Roman"/>
                <w:b/>
                <w:bCs/>
                <w:color w:val="000000"/>
                <w:sz w:val="20"/>
                <w:szCs w:val="20"/>
                <w:lang w:eastAsia="id-ID"/>
              </w:rPr>
              <w:lastRenderedPageBreak/>
              <w:t>Wawancara</w:t>
            </w:r>
          </w:p>
        </w:tc>
      </w:tr>
      <w:tr w:rsidR="006D3871" w:rsidRPr="006D3871" w:rsidTr="006D3871">
        <w:trPr>
          <w:trHeight w:val="510"/>
        </w:trPr>
        <w:tc>
          <w:tcPr>
            <w:tcW w:w="998" w:type="dxa"/>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lastRenderedPageBreak/>
              <w:t>FVf1</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t xml:space="preserve">Index persepsi korupsi di lokasi assesmen (TII) </w:t>
            </w:r>
          </w:p>
        </w:tc>
        <w:tc>
          <w:tcPr>
            <w:tcW w:w="1417"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F2DDDC"/>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KPK &amp; TII</w:t>
            </w:r>
          </w:p>
        </w:tc>
        <w:tc>
          <w:tcPr>
            <w:tcW w:w="1843" w:type="dxa"/>
            <w:tcBorders>
              <w:top w:val="nil"/>
              <w:left w:val="nil"/>
              <w:bottom w:val="single" w:sz="4" w:space="0" w:color="auto"/>
              <w:right w:val="single" w:sz="4" w:space="0" w:color="auto"/>
            </w:tcBorders>
            <w:shd w:val="clear" w:color="000000" w:fill="F2DDDC"/>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252" w:type="dxa"/>
            <w:tcBorders>
              <w:top w:val="nil"/>
              <w:left w:val="nil"/>
              <w:bottom w:val="single" w:sz="4" w:space="0" w:color="auto"/>
              <w:right w:val="single" w:sz="4" w:space="0" w:color="auto"/>
            </w:tcBorders>
            <w:shd w:val="clear" w:color="000000" w:fill="F2DDDC"/>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725"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ada wawancara</w:t>
            </w:r>
          </w:p>
        </w:tc>
        <w:tc>
          <w:tcPr>
            <w:tcW w:w="1382" w:type="dxa"/>
            <w:tcBorders>
              <w:top w:val="nil"/>
              <w:left w:val="nil"/>
              <w:bottom w:val="single" w:sz="4" w:space="0" w:color="auto"/>
              <w:right w:val="single" w:sz="4" w:space="0" w:color="auto"/>
            </w:tcBorders>
            <w:shd w:val="clear" w:color="000000" w:fill="000000"/>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p>
        </w:tc>
        <w:tc>
          <w:tcPr>
            <w:tcW w:w="1417"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615"/>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 g. Nilai kerugian negara pada Satuan Kerja Pengelola Hutan/Unit Pengelola Hutan, yang didasarkan atas </w:t>
            </w:r>
            <w:r w:rsidRPr="006D3871">
              <w:rPr>
                <w:rFonts w:ascii="Times New Roman" w:eastAsia="Times New Roman" w:hAnsi="Times New Roman" w:cs="Times New Roman"/>
                <w:b/>
                <w:bCs/>
                <w:color w:val="000000"/>
                <w:sz w:val="20"/>
                <w:szCs w:val="20"/>
                <w:lang w:eastAsia="id-ID"/>
              </w:rPr>
              <w:br/>
              <w:t xml:space="preserve">       hasil pemeriksaan Laporan Keuangan Satuan Kerja tersebut oleh BPK RI</w:t>
            </w:r>
            <w:r w:rsidRPr="006D3871">
              <w:rPr>
                <w:rFonts w:ascii="Times New Roman" w:eastAsia="Times New Roman" w:hAnsi="Times New Roman" w:cs="Times New Roman"/>
                <w:b/>
                <w:bCs/>
                <w:color w:val="000000"/>
                <w:sz w:val="20"/>
                <w:szCs w:val="20"/>
                <w:lang w:eastAsia="id-ID"/>
              </w:rPr>
              <w:br/>
            </w:r>
            <w:r w:rsidRPr="006D3871">
              <w:rPr>
                <w:rFonts w:ascii="Times New Roman" w:eastAsia="Times New Roman" w:hAnsi="Times New Roman" w:cs="Times New Roman"/>
                <w:b/>
                <w:bCs/>
                <w:color w:val="000000"/>
                <w:sz w:val="20"/>
                <w:szCs w:val="20"/>
                <w:lang w:eastAsia="id-ID"/>
              </w:rPr>
              <w:br/>
            </w:r>
            <w:r w:rsidRPr="006D3871">
              <w:rPr>
                <w:rFonts w:ascii="Times New Roman" w:eastAsia="Times New Roman" w:hAnsi="Times New Roman" w:cs="Times New Roman"/>
                <w:b/>
                <w:bCs/>
                <w:color w:val="000000"/>
                <w:sz w:val="20"/>
                <w:szCs w:val="20"/>
                <w:lang w:eastAsia="id-ID"/>
              </w:rPr>
              <w:br/>
            </w:r>
            <w:r w:rsidRPr="006D3871">
              <w:rPr>
                <w:rFonts w:ascii="Times New Roman" w:eastAsia="Times New Roman" w:hAnsi="Times New Roman" w:cs="Times New Roman"/>
                <w:b/>
                <w:bCs/>
                <w:color w:val="000000"/>
                <w:sz w:val="20"/>
                <w:szCs w:val="20"/>
                <w:lang w:eastAsia="id-ID"/>
              </w:rPr>
              <w:br/>
              <w:t xml:space="preserve"> </w:t>
            </w: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24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Laporan BPK</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8175"/>
        </w:trPr>
        <w:tc>
          <w:tcPr>
            <w:tcW w:w="998" w:type="dxa"/>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t>FVg1</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t xml:space="preserve">Nilai kerugian negara pada Sa-tuan Kerja Pengelola Hutan/ Unit Pengelola Hutan, yang didasarkan atas hasil pemerik-saan Laporan Keuangan Satuan Kerja tersebut oleh BPK RI.  </w:t>
            </w:r>
          </w:p>
        </w:tc>
        <w:tc>
          <w:tcPr>
            <w:tcW w:w="1417"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Database WALHI yang mengambil hasil laporan hasil audit BPK tahun 2009</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audit BPK tahun 2009, tercatat ada beberapa  perusahaan besar seperti : (1). PT Batara Putra, Pertambangan kuasai ijin KP seluas 5245 ha dan Ijin Ekploitasi 5002 ha selama 30 tahun. Kerugian Negara: Tegakan Kayu Rp5.956.743.000,00, dari Penerimaan PSDH Negara alami kerugian Rp. 595.674.300,-, dari Dana Reboisasi Negara rugi USD258,125.53. (2). PT Harva Taruna Mandiri mendapatkan izin KP Eksploitasi Nomor 188.45/217/2006 tanggal 24 Maret 2006 seluas 5.000 ha, kerugian Negara: kerugian Negara adalah sebesar Rp1.576.009.500,00, dan PSDH sebesar Rp157.600.950,00 dan DR sebesar USD68,293.75. (3). CV Harapan Jaya Abadi merupakan pemegang izin KP Eksploitasi batubara berdasarkan SK Bupati Nomor 188.45/608/2008 </w:t>
            </w:r>
            <w:r w:rsidRPr="006D3871">
              <w:rPr>
                <w:rFonts w:ascii="Times New Roman" w:eastAsia="Times New Roman" w:hAnsi="Times New Roman" w:cs="Times New Roman"/>
                <w:color w:val="000000"/>
                <w:sz w:val="20"/>
                <w:szCs w:val="20"/>
                <w:lang w:eastAsia="id-ID"/>
              </w:rPr>
              <w:lastRenderedPageBreak/>
              <w:t>tanggal 24 Desember 2008, dengan jangka waktu selama 20 tahun seluas 2.099 ha yang berada di Desa Malateken, Kecamatan Teweh Tengah, Kabupaten Barito Utara. Kerugian Negara adalah sebesar Rp253.500.000,00, PSDH sebesar Rp25.350.000,00 dan DR sebesar USD10,985.00</w:t>
            </w:r>
          </w:p>
        </w:tc>
        <w:tc>
          <w:tcPr>
            <w:tcW w:w="125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lastRenderedPageBreak/>
              <w:t>1</w:t>
            </w:r>
          </w:p>
        </w:tc>
        <w:tc>
          <w:tcPr>
            <w:tcW w:w="1725" w:type="dxa"/>
            <w:tcBorders>
              <w:top w:val="nil"/>
              <w:left w:val="nil"/>
              <w:bottom w:val="single" w:sz="4" w:space="0" w:color="auto"/>
              <w:right w:val="single" w:sz="4" w:space="0" w:color="auto"/>
            </w:tcBorders>
            <w:shd w:val="clear" w:color="000000" w:fill="000000"/>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r>
      <w:tr w:rsidR="006D3871" w:rsidRPr="006D3871" w:rsidTr="006D3871">
        <w:trPr>
          <w:trHeight w:val="390"/>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p>
        </w:tc>
        <w:tc>
          <w:tcPr>
            <w:tcW w:w="1417"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h. Jumlah pengaduan masyarakat tentang kinerja pengelolaan hutan</w:t>
            </w:r>
            <w:r w:rsidRPr="006D3871">
              <w:rPr>
                <w:rFonts w:ascii="Times New Roman" w:eastAsia="Times New Roman" w:hAnsi="Times New Roman" w:cs="Times New Roman"/>
                <w:b/>
                <w:bCs/>
                <w:color w:val="000000"/>
                <w:sz w:val="20"/>
                <w:szCs w:val="20"/>
                <w:lang w:eastAsia="id-ID"/>
              </w:rPr>
              <w:br/>
            </w:r>
            <w:r w:rsidRPr="006D3871">
              <w:rPr>
                <w:rFonts w:ascii="Times New Roman" w:eastAsia="Times New Roman" w:hAnsi="Times New Roman" w:cs="Times New Roman"/>
                <w:b/>
                <w:bCs/>
                <w:color w:val="000000"/>
                <w:sz w:val="20"/>
                <w:szCs w:val="20"/>
                <w:lang w:eastAsia="id-ID"/>
              </w:rPr>
              <w:br/>
            </w:r>
            <w:r w:rsidRPr="006D3871">
              <w:rPr>
                <w:rFonts w:ascii="Times New Roman" w:eastAsia="Times New Roman" w:hAnsi="Times New Roman" w:cs="Times New Roman"/>
                <w:b/>
                <w:bCs/>
                <w:color w:val="000000"/>
                <w:sz w:val="20"/>
                <w:szCs w:val="20"/>
                <w:lang w:eastAsia="id-ID"/>
              </w:rPr>
              <w:br/>
            </w:r>
            <w:r w:rsidRPr="006D3871">
              <w:rPr>
                <w:rFonts w:ascii="Times New Roman" w:eastAsia="Times New Roman" w:hAnsi="Times New Roman" w:cs="Times New Roman"/>
                <w:b/>
                <w:bCs/>
                <w:color w:val="000000"/>
                <w:sz w:val="20"/>
                <w:szCs w:val="20"/>
                <w:lang w:eastAsia="id-ID"/>
              </w:rPr>
              <w:br/>
              <w:t xml:space="preserve"> </w:t>
            </w: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24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Kementerian &amp; Dinas Kehutanan</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765"/>
        </w:trPr>
        <w:tc>
          <w:tcPr>
            <w:tcW w:w="998" w:type="dxa"/>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t>FVh1</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r w:rsidRPr="006D3871">
              <w:rPr>
                <w:rFonts w:ascii="Times New Roman" w:eastAsia="Times New Roman" w:hAnsi="Times New Roman" w:cs="Times New Roman"/>
                <w:sz w:val="20"/>
                <w:szCs w:val="20"/>
                <w:lang w:eastAsia="id-ID"/>
              </w:rPr>
              <w:t xml:space="preserve">Jumlah pengaduan masyarakat tentang kinerja pengelolaan hutan </w:t>
            </w:r>
          </w:p>
        </w:tc>
        <w:tc>
          <w:tcPr>
            <w:tcW w:w="1417"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tercatat dengan baik</w:t>
            </w:r>
          </w:p>
        </w:tc>
        <w:tc>
          <w:tcPr>
            <w:tcW w:w="125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nil"/>
              <w:right w:val="nil"/>
            </w:tcBorders>
            <w:shd w:val="clear" w:color="000000" w:fill="000000"/>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382" w:type="dxa"/>
            <w:tcBorders>
              <w:top w:val="nil"/>
              <w:left w:val="nil"/>
              <w:bottom w:val="nil"/>
              <w:right w:val="nil"/>
            </w:tcBorders>
            <w:shd w:val="clear" w:color="000000" w:fill="000000"/>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sz w:val="20"/>
                <w:szCs w:val="20"/>
                <w:lang w:eastAsia="id-ID"/>
              </w:rPr>
            </w:pPr>
          </w:p>
        </w:tc>
        <w:tc>
          <w:tcPr>
            <w:tcW w:w="1417"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255"/>
        </w:trPr>
        <w:tc>
          <w:tcPr>
            <w:tcW w:w="3549" w:type="dxa"/>
            <w:gridSpan w:val="3"/>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Isu dalam PGA REDD+</w:t>
            </w:r>
          </w:p>
        </w:tc>
        <w:tc>
          <w:tcPr>
            <w:tcW w:w="5954" w:type="dxa"/>
            <w:gridSpan w:val="4"/>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24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a. Jumlah kelompok masyarakat adat/lokal dan bisnis yg dapat akses di dalam lokasi REDD+</w:t>
            </w: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informasi</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Kementerian &amp; Dinas Kehutanan, Satgas REDD+, Organisasi Masyarakat  Adat/Lokal</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255"/>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lastRenderedPageBreak/>
              <w:t>FVIa1</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Jumlah kelompok masyarakat adat/lokal dan bisnis yg dapat akses di dalam lokasi REDD+</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belum ada</w:t>
            </w:r>
          </w:p>
        </w:tc>
        <w:tc>
          <w:tcPr>
            <w:tcW w:w="125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nil"/>
              <w:right w:val="nil"/>
            </w:tcBorders>
            <w:shd w:val="clear" w:color="000000" w:fill="000000"/>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382" w:type="dxa"/>
            <w:tcBorders>
              <w:top w:val="nil"/>
              <w:left w:val="nil"/>
              <w:bottom w:val="nil"/>
              <w:right w:val="nil"/>
            </w:tcBorders>
            <w:shd w:val="clear" w:color="000000" w:fill="000000"/>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r>
      <w:tr w:rsidR="006D3871" w:rsidRPr="006D3871" w:rsidTr="006D3871">
        <w:trPr>
          <w:trHeight w:val="930"/>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Satgas REDD+</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belum ada</w:t>
            </w:r>
          </w:p>
        </w:tc>
        <w:tc>
          <w:tcPr>
            <w:tcW w:w="125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nil"/>
              <w:right w:val="nil"/>
            </w:tcBorders>
            <w:shd w:val="clear" w:color="000000" w:fill="000000"/>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382" w:type="dxa"/>
            <w:tcBorders>
              <w:top w:val="nil"/>
              <w:left w:val="nil"/>
              <w:bottom w:val="nil"/>
              <w:right w:val="nil"/>
            </w:tcBorders>
            <w:shd w:val="clear" w:color="000000" w:fill="000000"/>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24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b. Tingkat penerimaan Strategi REDD+ oleh para aktor</w:t>
            </w:r>
            <w:r w:rsidRPr="006D3871">
              <w:rPr>
                <w:rFonts w:ascii="Times New Roman" w:eastAsia="Times New Roman" w:hAnsi="Times New Roman" w:cs="Times New Roman"/>
                <w:b/>
                <w:bCs/>
                <w:color w:val="000000"/>
                <w:sz w:val="20"/>
                <w:szCs w:val="20"/>
                <w:lang w:eastAsia="id-ID"/>
              </w:rPr>
              <w:br/>
            </w:r>
          </w:p>
        </w:tc>
      </w:tr>
      <w:tr w:rsidR="006D3871" w:rsidRPr="006D3871" w:rsidTr="006D3871">
        <w:trPr>
          <w:trHeight w:val="66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informasi</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Pemerintah (Kementrian &amp; Dinas Kehutanan, Kementrian &amp; Dinas Pertanian, BAPPENAS &amp; BAPPEDA), Organisasi Masyarakat Sipil, Organisasi Masyarakat Adat/Lokal</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4875"/>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FVIb1</w:t>
            </w:r>
          </w:p>
        </w:tc>
        <w:tc>
          <w:tcPr>
            <w:tcW w:w="1134" w:type="dxa"/>
            <w:vMerge w:val="restart"/>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Bagaimana penerimaan Strate-gi REDD+ oleh para aktor?</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SK Gubernur : NOMOR :  660/945/BLH/IV/2011 pembentukan KOMDA REDD+ yang menyebutkan personil berasal dari berbagai lembaga di bawah Asisten Ekonomi, yang merupakan kesiapan Prov Kalteng dalam menyongosng REDD+ di impelentasikan di Kalteng, dengan penekanan peran daerah yang lebih jelas dan kuat</w:t>
            </w:r>
          </w:p>
        </w:tc>
        <w:tc>
          <w:tcPr>
            <w:tcW w:w="1252"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5</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 Secara pribadi informan berpendapat, mekanisme REDD+ merupakan cara atau opsi dari Negara maju, yang menyudutkan Negara berkembang untuk melakukan upaya reduksi karbon, padahal seharusnya Negara maju yang memiliki tingkat emisi lebih tinggilah yang harus melakukan pengurangan emisi karbon di negaranya. Menurut informan, dari deforestasi dan degradasi hutan, paling banyak keluarkan emisi total hanya 17%, selebihnya 83% berasal dari emisi Negara maju. Jadi program REDD+ ini semacam pengamuflase-an tanggung jawab dan Negara berkembang cenderung ditekan oleh Negara maju.</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3</w:t>
            </w:r>
          </w:p>
        </w:tc>
      </w:tr>
      <w:tr w:rsidR="006D3871" w:rsidRPr="006D3871" w:rsidTr="006D3871">
        <w:trPr>
          <w:trHeight w:val="127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Bappeda</w:t>
            </w:r>
          </w:p>
        </w:tc>
        <w:tc>
          <w:tcPr>
            <w:tcW w:w="1843"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di dkomen RPJP Prov Kalteng diindikasikan adanya persiapan hutan kelestarian dengan menyiapkan lahan di Kapuas contohnya</w:t>
            </w:r>
          </w:p>
        </w:tc>
        <w:tc>
          <w:tcPr>
            <w:tcW w:w="1252"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cukup memadai, ada stekholder di situ</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3</w:t>
            </w:r>
          </w:p>
        </w:tc>
      </w:tr>
      <w:tr w:rsidR="006D3871" w:rsidRPr="006D3871" w:rsidTr="006D3871">
        <w:trPr>
          <w:trHeight w:val="1530"/>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Kertas Posisi WALHI yang menolak REDD sebagai mekanisme reduksi emisi GRK yang seharusnya dilakukan di negara pengemisi, bukan di Indonesia</w:t>
            </w:r>
          </w:p>
        </w:tc>
        <w:tc>
          <w:tcPr>
            <w:tcW w:w="1252"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Posisi WALHI menolak carbon trading, carbon offset, karena tidak menghentikan sumber deforestasi. AMAN – hak masyarakat adat; Swasta: wait &amp; see - perkebunan</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127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Organisasi Masyarakat Adat Lokal</w:t>
            </w:r>
          </w:p>
        </w:tc>
        <w:tc>
          <w:tcPr>
            <w:tcW w:w="1843"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Kertas Posisi Masyarakat Adat yang menolak REDD bila tidak melibatkan masayarakat adat dengan slogan "No </w:t>
            </w:r>
            <w:r w:rsidRPr="006D3871">
              <w:rPr>
                <w:rFonts w:ascii="Times New Roman" w:eastAsia="Times New Roman" w:hAnsi="Times New Roman" w:cs="Times New Roman"/>
                <w:color w:val="000000"/>
                <w:sz w:val="20"/>
                <w:szCs w:val="20"/>
                <w:lang w:eastAsia="id-ID"/>
              </w:rPr>
              <w:lastRenderedPageBreak/>
              <w:t>Right, No REDD"</w:t>
            </w:r>
          </w:p>
        </w:tc>
        <w:tc>
          <w:tcPr>
            <w:tcW w:w="1252"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lastRenderedPageBreak/>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Masyarakat Adat tidak dilibatkan, padahal banyak lahan itu hutan adat</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2295"/>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lastRenderedPageBreak/>
              <w:t>FVIb2</w:t>
            </w:r>
          </w:p>
        </w:tc>
        <w:tc>
          <w:tcPr>
            <w:tcW w:w="1134" w:type="dxa"/>
            <w:vMerge w:val="restart"/>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Apakah Kelembagaan REDD+ sudah memadai?</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SK Gubernur : NOMOR :  660/945/BLH/IV/2011 pembentukan KOMDA REDD+, Pergub 10 tahun 2012 Pemprov telah menyusun STRADA REDD+, dan keberadaan Satgas REDD+ dg MoU Pemprov kalteng, yang semua itu menunjukkan kesiapan kelambagaan REDD+ di Kalteng</w:t>
            </w:r>
          </w:p>
        </w:tc>
        <w:tc>
          <w:tcPr>
            <w:tcW w:w="1252"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4</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Gubernur mengambil langkah yang tepat dengan membentuk lembaga koordinasi yang langsung dipinmpinya (KOMDA REDD+ : pen) yang sangat perlu mendapatkan support secara berkelanjutan dan maksimum dari pemerintah pusat.</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4</w:t>
            </w:r>
          </w:p>
        </w:tc>
      </w:tr>
      <w:tr w:rsidR="006D3871" w:rsidRPr="006D3871" w:rsidTr="006D3871">
        <w:trPr>
          <w:trHeight w:val="433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Bappeda</w:t>
            </w:r>
          </w:p>
        </w:tc>
        <w:tc>
          <w:tcPr>
            <w:tcW w:w="1843"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SK Gubernur : NOMOR :  660/945/BLH/IV/2011 pembentukan KOMDA REDD+, Pergub 10 tahun 2012 Pemprov telah menyusun STRADA REDD+, dan keberadaan Satgas REDD+ dg MoU Pemprov kalteng, yang semua itu menunjukkan kesiapan kelambagaan REDD+ di Kalteng</w:t>
            </w:r>
          </w:p>
        </w:tc>
        <w:tc>
          <w:tcPr>
            <w:tcW w:w="1252"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3</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Memadai, namun kalangan pejabat sebagai bagian dari sumberdaya pelaksana lembaga-lembaga tersebut merasa terbeban dengan kegiatan-kegiatan yang dating ke Kalteng. Sementara waktu kerja rutin sudah menyita waktu, masih ditambahi pekerjaan proyek yang dantag ke kalteng. Maslah lain adalah beban kerja bertambah, tapi sebagai birokrat tidak boleh menerima honor. Jadi hanya menjadi beban saja, termasuk proyek2 dari Jakarta terkait REDD+, yang mendudukan birokrat dilematis karena tidak boleh dobel gaji</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3</w:t>
            </w:r>
          </w:p>
        </w:tc>
      </w:tr>
      <w:tr w:rsidR="006D3871" w:rsidRPr="006D3871" w:rsidTr="006D3871">
        <w:trPr>
          <w:trHeight w:val="127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Kertas Posisi WALHI yang menolak REDD sebagai mekanisme reduksi emisi GRK yang seharusnya dilakukan di negara pengemisi, bukan di Indonesia</w:t>
            </w:r>
          </w:p>
        </w:tc>
        <w:tc>
          <w:tcPr>
            <w:tcW w:w="1252"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2</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kurang memadai, karena saat ini tidak jelas bagi LSM</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2</w:t>
            </w:r>
          </w:p>
        </w:tc>
      </w:tr>
      <w:tr w:rsidR="006D3871" w:rsidRPr="006D3871" w:rsidTr="006D3871">
        <w:trPr>
          <w:trHeight w:val="127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Organisasi Masyarakat Adat Lokal</w:t>
            </w:r>
          </w:p>
        </w:tc>
        <w:tc>
          <w:tcPr>
            <w:tcW w:w="1843"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Kertas Posisi Masyarakat Adat yang menolak REDD bila tidak melibatkan masayarakat adat dengan slogan "No Right, No REDD"</w:t>
            </w:r>
          </w:p>
        </w:tc>
        <w:tc>
          <w:tcPr>
            <w:tcW w:w="1252"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memadai karena elitis</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765"/>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FVIb3</w:t>
            </w:r>
          </w:p>
        </w:tc>
        <w:tc>
          <w:tcPr>
            <w:tcW w:w="1134" w:type="dxa"/>
            <w:vMerge w:val="restart"/>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Apakah Kerangka Pengaman sudah memadai?</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hingga wawancara ini berlangsung belum ada dokumen relevan</w:t>
            </w:r>
          </w:p>
        </w:tc>
        <w:tc>
          <w:tcPr>
            <w:tcW w:w="1252"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hingga wawancara ini berlangsung belum ada itu kerangka Pengaman</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25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Bappeda</w:t>
            </w:r>
          </w:p>
        </w:tc>
        <w:tc>
          <w:tcPr>
            <w:tcW w:w="1843"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idem</w:t>
            </w:r>
          </w:p>
        </w:tc>
        <w:tc>
          <w:tcPr>
            <w:tcW w:w="1252"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r>
      <w:tr w:rsidR="006D3871" w:rsidRPr="006D3871" w:rsidTr="006D3871">
        <w:trPr>
          <w:trHeight w:val="510"/>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hingga wawancara ini berlangsung belum ada dokumen relevan</w:t>
            </w:r>
          </w:p>
        </w:tc>
        <w:tc>
          <w:tcPr>
            <w:tcW w:w="1252"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jelas, katanya belum ada</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76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Organisasi Masyarakat Adat Lokal</w:t>
            </w:r>
          </w:p>
        </w:tc>
        <w:tc>
          <w:tcPr>
            <w:tcW w:w="1843"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hingga wawancara ini berlangsung belum ada dokumen relevan</w:t>
            </w:r>
          </w:p>
        </w:tc>
        <w:tc>
          <w:tcPr>
            <w:tcW w:w="1252"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510"/>
        </w:trPr>
        <w:tc>
          <w:tcPr>
            <w:tcW w:w="998" w:type="dxa"/>
            <w:vMerge w:val="restart"/>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FVIb4</w:t>
            </w:r>
          </w:p>
        </w:tc>
        <w:tc>
          <w:tcPr>
            <w:tcW w:w="1134" w:type="dxa"/>
            <w:vMerge w:val="restart"/>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Apakah (mekanisme) MRV sudah memadai?</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hingga wawancara ini berlangsung belum ada dokumen relevan</w:t>
            </w:r>
          </w:p>
        </w:tc>
        <w:tc>
          <w:tcPr>
            <w:tcW w:w="1252"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510"/>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Bappeda</w:t>
            </w:r>
          </w:p>
        </w:tc>
        <w:tc>
          <w:tcPr>
            <w:tcW w:w="1843"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hingga wawancara ini berlangsung belum ada dokumen relevan</w:t>
            </w:r>
          </w:p>
        </w:tc>
        <w:tc>
          <w:tcPr>
            <w:tcW w:w="1252"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r>
      <w:tr w:rsidR="006D3871" w:rsidRPr="006D3871" w:rsidTr="006D3871">
        <w:trPr>
          <w:trHeight w:val="510"/>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hingga wawancara ini berlangsung belum ada dokumen relevan</w:t>
            </w:r>
          </w:p>
        </w:tc>
        <w:tc>
          <w:tcPr>
            <w:tcW w:w="1252"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tidak jelas, katanya belum ada</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765"/>
        </w:trPr>
        <w:tc>
          <w:tcPr>
            <w:tcW w:w="998"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Organisasi Masyarakat Adat Lokal</w:t>
            </w:r>
          </w:p>
        </w:tc>
        <w:tc>
          <w:tcPr>
            <w:tcW w:w="1843"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hingga wawancara ini berlangsung belum ada dokumen relevan</w:t>
            </w:r>
          </w:p>
        </w:tc>
        <w:tc>
          <w:tcPr>
            <w:tcW w:w="1252" w:type="dxa"/>
            <w:tcBorders>
              <w:top w:val="nil"/>
              <w:left w:val="nil"/>
              <w:bottom w:val="single" w:sz="4" w:space="0" w:color="auto"/>
              <w:right w:val="single" w:sz="4" w:space="0" w:color="auto"/>
            </w:tcBorders>
            <w:shd w:val="clear" w:color="000000" w:fill="000000"/>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1</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24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c. Tingkat deforestasi di lokasi assesmen</w:t>
            </w: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informasi</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Kementerian &amp; Dinas Kehutanan</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2295"/>
        </w:trPr>
        <w:tc>
          <w:tcPr>
            <w:tcW w:w="998" w:type="dxa"/>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FVIc1</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Tingkat deforestasi di lokasi assesmen </w:t>
            </w:r>
          </w:p>
        </w:tc>
        <w:tc>
          <w:tcPr>
            <w:tcW w:w="1417"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deforestasi sangat tinggi,laju deforestasi di Kalteng 63,1 ribu hektare per tahun atau... 99,8% di kawasan hutan dan 0,2% di luar kawasan (APL). Perluasan deforestasi di lahan gambut tersebut menyebabkan peningkatan emisi CO2 dan NH4 (gas rumah kaca utama)</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4</w:t>
            </w:r>
          </w:p>
        </w:tc>
        <w:tc>
          <w:tcPr>
            <w:tcW w:w="1725" w:type="dxa"/>
            <w:tcBorders>
              <w:top w:val="nil"/>
              <w:left w:val="nil"/>
              <w:bottom w:val="nil"/>
              <w:right w:val="nil"/>
            </w:tcBorders>
            <w:shd w:val="clear" w:color="000000" w:fill="000000"/>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382" w:type="dxa"/>
            <w:tcBorders>
              <w:top w:val="nil"/>
              <w:left w:val="single" w:sz="4" w:space="0" w:color="auto"/>
              <w:bottom w:val="single" w:sz="4" w:space="0" w:color="auto"/>
              <w:right w:val="single" w:sz="4" w:space="0" w:color="auto"/>
            </w:tcBorders>
            <w:shd w:val="clear" w:color="000000" w:fill="000000"/>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4</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24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d. Tingkat degradasi hutan di lokasi assesmen</w:t>
            </w: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informasi</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Kementerian &amp; Dinas Kehutanan</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1275"/>
        </w:trPr>
        <w:tc>
          <w:tcPr>
            <w:tcW w:w="998" w:type="dxa"/>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lastRenderedPageBreak/>
              <w:t>FVId1</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Tingkat degradasi hutan di lokasi assesmen </w:t>
            </w:r>
          </w:p>
        </w:tc>
        <w:tc>
          <w:tcPr>
            <w:tcW w:w="1417"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degradasi cukup tinggi, lahan gambut 1 juta ha sebagian besar telah dibudidayakan untuk kegiatan non-hutan dan sebagian dalam kondisi rusak</w:t>
            </w:r>
          </w:p>
        </w:tc>
        <w:tc>
          <w:tcPr>
            <w:tcW w:w="125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4</w:t>
            </w:r>
          </w:p>
        </w:tc>
        <w:tc>
          <w:tcPr>
            <w:tcW w:w="1725" w:type="dxa"/>
            <w:tcBorders>
              <w:top w:val="nil"/>
              <w:left w:val="nil"/>
              <w:bottom w:val="nil"/>
              <w:right w:val="nil"/>
            </w:tcBorders>
            <w:shd w:val="clear" w:color="000000" w:fill="000000"/>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382" w:type="dxa"/>
            <w:tcBorders>
              <w:top w:val="nil"/>
              <w:left w:val="nil"/>
              <w:bottom w:val="nil"/>
              <w:right w:val="nil"/>
            </w:tcBorders>
            <w:shd w:val="clear" w:color="000000" w:fill="000000"/>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r>
      <w:tr w:rsidR="006D3871" w:rsidRPr="006D3871" w:rsidTr="006D3871">
        <w:trPr>
          <w:trHeight w:val="255"/>
        </w:trPr>
        <w:tc>
          <w:tcPr>
            <w:tcW w:w="998"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25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c>
          <w:tcPr>
            <w:tcW w:w="1725"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p>
        </w:tc>
      </w:tr>
      <w:tr w:rsidR="006D3871" w:rsidRPr="006D3871" w:rsidTr="006D3871">
        <w:trPr>
          <w:trHeight w:val="6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D3871" w:rsidRPr="006D3871" w:rsidRDefault="006D3871" w:rsidP="006D3871">
            <w:pPr>
              <w:spacing w:after="24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xml:space="preserve">: e. Jumlah kawasan yang dikelola secara berkelanjutan oleh pelaku pengelolaan hutan dalam pelaksanaan </w:t>
            </w:r>
            <w:r w:rsidRPr="006D3871">
              <w:rPr>
                <w:rFonts w:ascii="Times New Roman" w:eastAsia="Times New Roman" w:hAnsi="Times New Roman" w:cs="Times New Roman"/>
                <w:b/>
                <w:bCs/>
                <w:color w:val="000000"/>
                <w:sz w:val="20"/>
                <w:szCs w:val="20"/>
                <w:lang w:eastAsia="id-ID"/>
              </w:rPr>
              <w:br/>
              <w:t xml:space="preserve">  REDD+ (demonstration ativities)</w:t>
            </w:r>
            <w:r w:rsidRPr="006D3871">
              <w:rPr>
                <w:rFonts w:ascii="Times New Roman" w:eastAsia="Times New Roman" w:hAnsi="Times New Roman" w:cs="Times New Roman"/>
                <w:b/>
                <w:bCs/>
                <w:color w:val="000000"/>
                <w:sz w:val="20"/>
                <w:szCs w:val="20"/>
                <w:lang w:eastAsia="id-ID"/>
              </w:rPr>
              <w:br/>
            </w:r>
          </w:p>
        </w:tc>
      </w:tr>
      <w:tr w:rsidR="006D3871" w:rsidRPr="006D3871" w:rsidTr="006D3871">
        <w:trPr>
          <w:trHeight w:val="300"/>
        </w:trPr>
        <w:tc>
          <w:tcPr>
            <w:tcW w:w="2132" w:type="dxa"/>
            <w:gridSpan w:val="2"/>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informasi</w:t>
            </w:r>
          </w:p>
        </w:tc>
        <w:tc>
          <w:tcPr>
            <w:tcW w:w="1417" w:type="dxa"/>
            <w:tcBorders>
              <w:top w:val="nil"/>
              <w:left w:val="nil"/>
              <w:bottom w:val="nil"/>
              <w:right w:val="nil"/>
            </w:tcBorders>
            <w:shd w:val="clear" w:color="auto" w:fill="auto"/>
            <w:noWrap/>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tcBorders>
              <w:top w:val="nil"/>
              <w:left w:val="nil"/>
              <w:bottom w:val="single" w:sz="4" w:space="0" w:color="auto"/>
              <w:right w:val="nil"/>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 Kementerian &amp; Dinas Kehutanan</w:t>
            </w:r>
          </w:p>
        </w:tc>
      </w:tr>
      <w:tr w:rsidR="006D3871" w:rsidRPr="006D3871" w:rsidTr="006D3871">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Dokumen</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Dokumen</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b/>
                <w:bCs/>
                <w:color w:val="000000"/>
                <w:sz w:val="20"/>
                <w:szCs w:val="20"/>
                <w:lang w:eastAsia="id-ID"/>
              </w:rPr>
            </w:pPr>
            <w:r w:rsidRPr="006D3871">
              <w:rPr>
                <w:rFonts w:ascii="Times New Roman" w:eastAsia="Times New Roman" w:hAnsi="Times New Roman" w:cs="Times New Roman"/>
                <w:b/>
                <w:bCs/>
                <w:color w:val="000000"/>
                <w:sz w:val="20"/>
                <w:szCs w:val="20"/>
                <w:lang w:eastAsia="id-ID"/>
              </w:rPr>
              <w:t>Kategori Data Wawancara</w:t>
            </w:r>
          </w:p>
        </w:tc>
      </w:tr>
      <w:tr w:rsidR="006D3871" w:rsidRPr="006D3871" w:rsidTr="006D3871">
        <w:trPr>
          <w:trHeight w:val="1530"/>
        </w:trPr>
        <w:tc>
          <w:tcPr>
            <w:tcW w:w="998" w:type="dxa"/>
            <w:tcBorders>
              <w:top w:val="nil"/>
              <w:left w:val="single" w:sz="4" w:space="0" w:color="auto"/>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FVIe1</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xml:space="preserve">Jumlah kawasan yang dikelola secara berkelanjutan oleh pelaku pengelolaan hutan dalam pelaksanaan REDD+ (demonstration ativities) </w:t>
            </w:r>
          </w:p>
        </w:tc>
        <w:tc>
          <w:tcPr>
            <w:tcW w:w="1417"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SK No 27/MENHUT-II/2011 tentang KPH Model sekaligus Lokasi Demontratvie Activities yang didanai AUS AID melalui KFCP di Kab Kapuas seluas 105.372 ha</w:t>
            </w:r>
          </w:p>
        </w:tc>
        <w:tc>
          <w:tcPr>
            <w:tcW w:w="1252"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4</w:t>
            </w:r>
          </w:p>
        </w:tc>
        <w:tc>
          <w:tcPr>
            <w:tcW w:w="1725" w:type="dxa"/>
            <w:tcBorders>
              <w:top w:val="nil"/>
              <w:left w:val="nil"/>
              <w:bottom w:val="single" w:sz="4" w:space="0" w:color="auto"/>
              <w:right w:val="single" w:sz="4" w:space="0" w:color="auto"/>
            </w:tcBorders>
            <w:shd w:val="clear" w:color="auto" w:fill="auto"/>
            <w:hideMark/>
          </w:tcPr>
          <w:p w:rsidR="006D3871" w:rsidRPr="006D3871" w:rsidRDefault="006D3871" w:rsidP="006D3871">
            <w:pPr>
              <w:spacing w:after="0" w:line="240" w:lineRule="auto"/>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baru di Kapuas oleh KFCP seluas 105.372 ha, sementara  yg lain masih dalam tahap persiapan</w:t>
            </w:r>
          </w:p>
        </w:tc>
        <w:tc>
          <w:tcPr>
            <w:tcW w:w="1382" w:type="dxa"/>
            <w:tcBorders>
              <w:top w:val="nil"/>
              <w:left w:val="nil"/>
              <w:bottom w:val="single" w:sz="4" w:space="0" w:color="auto"/>
              <w:right w:val="single" w:sz="4" w:space="0" w:color="auto"/>
            </w:tcBorders>
            <w:shd w:val="clear" w:color="auto" w:fill="auto"/>
            <w:noWrap/>
            <w:hideMark/>
          </w:tcPr>
          <w:p w:rsidR="006D3871" w:rsidRPr="006D3871" w:rsidRDefault="006D3871" w:rsidP="006D3871">
            <w:pPr>
              <w:spacing w:after="0" w:line="240" w:lineRule="auto"/>
              <w:jc w:val="center"/>
              <w:rPr>
                <w:rFonts w:ascii="Times New Roman" w:eastAsia="Times New Roman" w:hAnsi="Times New Roman" w:cs="Times New Roman"/>
                <w:color w:val="000000"/>
                <w:sz w:val="20"/>
                <w:szCs w:val="20"/>
                <w:lang w:eastAsia="id-ID"/>
              </w:rPr>
            </w:pPr>
            <w:r w:rsidRPr="006D3871">
              <w:rPr>
                <w:rFonts w:ascii="Times New Roman" w:eastAsia="Times New Roman" w:hAnsi="Times New Roman" w:cs="Times New Roman"/>
                <w:color w:val="000000"/>
                <w:sz w:val="20"/>
                <w:szCs w:val="20"/>
                <w:lang w:eastAsia="id-ID"/>
              </w:rPr>
              <w:t>4</w:t>
            </w:r>
          </w:p>
        </w:tc>
      </w:tr>
    </w:tbl>
    <w:p w:rsidR="006D3871" w:rsidRDefault="006D3871"/>
    <w:sectPr w:rsidR="006D3871"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20"/>
  <w:characterSpacingControl w:val="doNotCompress"/>
  <w:compat/>
  <w:rsids>
    <w:rsidRoot w:val="00A91768"/>
    <w:rsid w:val="0026067C"/>
    <w:rsid w:val="00265D91"/>
    <w:rsid w:val="004165D1"/>
    <w:rsid w:val="004570C7"/>
    <w:rsid w:val="005D2D3D"/>
    <w:rsid w:val="006D3871"/>
    <w:rsid w:val="006E5970"/>
    <w:rsid w:val="00810E0A"/>
    <w:rsid w:val="009F3E98"/>
    <w:rsid w:val="00A91768"/>
    <w:rsid w:val="00BB5203"/>
    <w:rsid w:val="00C622FE"/>
    <w:rsid w:val="00D74DB4"/>
    <w:rsid w:val="00D9058A"/>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C622FE"/>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C622FE"/>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C622F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C622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C622FE"/>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C622FE"/>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C62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 w:type="paragraph" w:customStyle="1" w:styleId="xl116">
    <w:name w:val="xl116"/>
    <w:basedOn w:val="Normal"/>
    <w:rsid w:val="00C622F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C622FE"/>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C622F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7">
    <w:name w:val="font7"/>
    <w:basedOn w:val="Normal"/>
    <w:rsid w:val="006D3871"/>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8">
    <w:name w:val="font8"/>
    <w:basedOn w:val="Normal"/>
    <w:rsid w:val="006D3871"/>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78403494">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262180036">
      <w:bodyDiv w:val="1"/>
      <w:marLeft w:val="0"/>
      <w:marRight w:val="0"/>
      <w:marTop w:val="0"/>
      <w:marBottom w:val="0"/>
      <w:divBdr>
        <w:top w:val="none" w:sz="0" w:space="0" w:color="auto"/>
        <w:left w:val="none" w:sz="0" w:space="0" w:color="auto"/>
        <w:bottom w:val="none" w:sz="0" w:space="0" w:color="auto"/>
        <w:right w:val="none" w:sz="0" w:space="0" w:color="auto"/>
      </w:divBdr>
    </w:div>
    <w:div w:id="157647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17</Pages>
  <Words>5090</Words>
  <Characters>29018</Characters>
  <Application>Microsoft Office Word</Application>
  <DocSecurity>0</DocSecurity>
  <Lines>241</Lines>
  <Paragraphs>68</Paragraphs>
  <ScaleCrop>false</ScaleCrop>
  <Company/>
  <LinksUpToDate>false</LinksUpToDate>
  <CharactersWithSpaces>34040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2012-10-16T09:19:00Z</dcterms:modified>
</cp:coreProperties>
</file>